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AE5" w:rsidRDefault="00B87AE5" w:rsidP="00B87AE5">
      <w:pPr>
        <w:spacing w:line="240" w:lineRule="auto"/>
        <w:jc w:val="center"/>
        <w:rPr>
          <w:b/>
          <w:sz w:val="24"/>
          <w:szCs w:val="24"/>
        </w:rPr>
      </w:pPr>
      <w:r>
        <w:rPr>
          <w:b/>
          <w:sz w:val="24"/>
          <w:szCs w:val="24"/>
        </w:rPr>
        <w:t>2014-2015 MEDENİ USUL HUKUKU I PRATİK 1 CEVAPLARI</w:t>
      </w:r>
    </w:p>
    <w:p w:rsidR="00B87AE5" w:rsidRDefault="00B87AE5" w:rsidP="00B87AE5">
      <w:pPr>
        <w:spacing w:line="240" w:lineRule="auto"/>
        <w:jc w:val="both"/>
        <w:rPr>
          <w:sz w:val="24"/>
          <w:szCs w:val="24"/>
        </w:rPr>
      </w:pPr>
      <w:r>
        <w:rPr>
          <w:b/>
          <w:sz w:val="24"/>
          <w:szCs w:val="24"/>
        </w:rPr>
        <w:t>1.</w:t>
      </w:r>
      <w:r>
        <w:rPr>
          <w:sz w:val="24"/>
          <w:szCs w:val="24"/>
        </w:rPr>
        <w:t xml:space="preserve">  6100 sayılı Hukuk Muhakemeleri Kanunu’nun 4’üncü maddesi hükmü uyarınca kira alacaklarına ilişkin davalarda görevli mahkeme sulh hukuk mahkemesi olarak tespit edilecektir. Öte yandan yetki bakımından ise, kira alacaklarında özel veya kesin bir yetki kuralı bulunmamaktadır. Bu noktada özellikle taşınmazın bulunduğu yer mahkemesinin yetkisine ilişkin HMK m. 12 hükmünün, kira alacaklarında geçerli olmadığına dikkat edilmelidir. Zira söz konusu kesin yetki kuralı, gayrimenkulün aynına ilişkin uyuşmazlıklara münhasır bir düzenlemedir. Sonuç olarak yetki bakımından da davalının dava tarihindeki yerleşim yeri mahkemesinin yetkisine ilişkin genel yetki kuralı (HMK m. 6) uyarınca Bursa Sulh Hukuk Mahkemesi görevli ve yetkili mahkeme olarak belirlenecektir.</w:t>
      </w:r>
    </w:p>
    <w:p w:rsidR="00B87AE5" w:rsidRDefault="00B87AE5" w:rsidP="00B87AE5">
      <w:pPr>
        <w:spacing w:line="240" w:lineRule="auto"/>
        <w:jc w:val="both"/>
        <w:rPr>
          <w:sz w:val="24"/>
          <w:szCs w:val="24"/>
        </w:rPr>
      </w:pPr>
      <w:r>
        <w:rPr>
          <w:b/>
          <w:sz w:val="24"/>
          <w:szCs w:val="24"/>
        </w:rPr>
        <w:t>2.</w:t>
      </w:r>
      <w:r>
        <w:rPr>
          <w:sz w:val="24"/>
          <w:szCs w:val="24"/>
        </w:rPr>
        <w:t xml:space="preserve"> Yetki kaydının bulunduğu kira sözleşmesi, 1086 sayılı HUMK döneminde yapılmıştır. Dolayısıyla sorunun ilk kısmı bakımından yetki sözleşmesinin geçerliliğini, HUMK hükümlerine göre değerlendirmek gerekir. Mülga HUMK m. 22 hükmüne göre kamu düzeninden olmayan uyuşmazlıklarda yazılı olarak yapılmak kaydıyla taraflar yetkili olmayan mahkemeyi yetkili kılabilirler. Buna göre yapılan kira sözleşmesine konulan yetki kaydı ile yapılan yetki sözleşmesi geçerlidir. Buna karşılık HMK ile birlikte yetki sözleşmeleri bakımından kesin yetki olmaması ve yazılı yapılma şartının yanı sıra taraflar yönünden de bir sınırlama getirilerek yetki sözleşmelerinin yalnızca kamu tüzel kişileri veya tacirler arasında yapılabileceği düzenlenmiştir. Gerçekten de HMK m. 17 hükmüne göre yalnızca kamu tüzel kişileri veya tacirler yetki sözleşmesi yapabilirler.  Dolayısıyla söz konusu yetki sözleşmesinin HMK döneminde yapılmış olması hâlinde cevap değişerek yetki sözleşmesi geçersiz olacaktı. Zira burada ev sahibi Ahmet tacir olsa da sözleşmenin diğer tarafı Emel tacir değil, esnaftır. Yetki sözleşmesi ancak yetkinin kamu düzeninden olmadığı, kesin olmayan hâllerde yapılabileceğinden, Burhan’ın başvurması gereken yol, HMK m. 116 uyarınca ilk itiraz yoluyla bunun ileri sürülmesi olacaktır. HMK m. 116 hükmüne göre kesin olmayan hâllerde yetki itirazı, bir ilk itirazdır.</w:t>
      </w:r>
    </w:p>
    <w:p w:rsidR="00B87AE5" w:rsidRDefault="00B87AE5" w:rsidP="00B87AE5">
      <w:pPr>
        <w:spacing w:line="240" w:lineRule="auto"/>
        <w:jc w:val="both"/>
        <w:rPr>
          <w:sz w:val="24"/>
          <w:szCs w:val="24"/>
        </w:rPr>
      </w:pPr>
      <w:r>
        <w:rPr>
          <w:b/>
          <w:sz w:val="24"/>
          <w:szCs w:val="24"/>
        </w:rPr>
        <w:t xml:space="preserve">3. </w:t>
      </w:r>
      <w:r>
        <w:rPr>
          <w:sz w:val="24"/>
          <w:szCs w:val="24"/>
        </w:rPr>
        <w:t xml:space="preserve">Burada sorunun, yetki sözleşmeleri bakımından Hukuk Muhakemeleri Kanunu’nun zaman itibariyle uygulanması çerçevesinde çözülmesi gerekir. HMK m. 448 hükmüne göre HMK, tamamlanmış işlemleri etkilememek kaydıyla derhâl uygulanır. Buna göre, HUMK döneminde yapılmış olan yetki sözleşmesine dayanılarak henüz HMK yürürlüğe girmeden dava açılmış olduğundan Ankara Sulh Hukuk Mahkemesi yetkisizlik kararı veremeyecektir.  Bir başka ifadeyle, dava Nisan 2011’de, HUMK döneminde açılmış olduğundan, her ne kadar HMK ile birlikte taraflara yönelik sınırlamaya uygun olmayan yetki sözleşmesi geçersiz hâle gelmiş olsa da, yetki sözleşmesinin usule ilişkin etkisi (dava açılmasına yönelik etkisi) tamamlanmış olduğundan, artık yetki sözleşmesinin geçersizliğinden bahisle dava hakkında yetkisizlik kararı verilemeyecektir. </w:t>
      </w:r>
    </w:p>
    <w:p w:rsidR="00B87AE5" w:rsidRDefault="00B87AE5" w:rsidP="00B87AE5">
      <w:pPr>
        <w:spacing w:line="240" w:lineRule="auto"/>
        <w:jc w:val="both"/>
        <w:rPr>
          <w:sz w:val="24"/>
          <w:szCs w:val="24"/>
        </w:rPr>
      </w:pPr>
      <w:r>
        <w:rPr>
          <w:sz w:val="24"/>
          <w:szCs w:val="24"/>
        </w:rPr>
        <w:t>NOT: şubelerden birisinde yanlış hatırlamıyorsam davanın açıldığı tarihi Nisan 2012 olarak değiştirmiş/düzeltmiştik. Dolayısıyla buraya davanın Nisan 2012’de açılmış olması hâline ilişkin cevabı da yazıyorum: “</w:t>
      </w:r>
      <w:r>
        <w:rPr>
          <w:i/>
          <w:sz w:val="24"/>
          <w:szCs w:val="24"/>
        </w:rPr>
        <w:t>söz konusu yetki sözleşmesine dayanılarak Nisan 2012’de, yani Hukuk Muhakemeleri Kanunu’nun yürürlüğe girdiği 01.10.2011 tarihinden sonra dava açılması hâlinde yetkisizlik kararı verilecektir. Zira bu durumda yetki sözleşmesinin asli etkisi olarak davanın açılması etkisi henüz ortaya çıkarılmamış, tamamlanmamıştır. Dolayısıyla mahkeme, ilk itiraz olarak Burhan tarafından ileri sürülmüş olmak kaydıyla, yetkisizlik kararı verecektir.</w:t>
      </w:r>
      <w:r>
        <w:rPr>
          <w:sz w:val="24"/>
          <w:szCs w:val="24"/>
        </w:rPr>
        <w:t>”</w:t>
      </w:r>
    </w:p>
    <w:p w:rsidR="00B87AE5" w:rsidRDefault="00B87AE5" w:rsidP="00B87AE5">
      <w:pPr>
        <w:spacing w:line="240" w:lineRule="auto"/>
        <w:jc w:val="both"/>
        <w:rPr>
          <w:sz w:val="24"/>
          <w:szCs w:val="24"/>
        </w:rPr>
      </w:pPr>
      <w:r>
        <w:rPr>
          <w:sz w:val="24"/>
          <w:szCs w:val="24"/>
        </w:rPr>
        <w:lastRenderedPageBreak/>
        <w:t>Mahkemenin yetkisizlik kararı vermiş olması hâlinde Ahmet, davanın Ankara Sulh Hukuk Mahkemesinde görülmesini sağlamak amacıyla başkaca bir yetki kuralına dayanamaz. Zira burada değerlendirilebilecek iki ihtimal de uygulanamaz. İlk olarak Ahmet’in, taşınmaza ilişkin bir alacak söz konusu olduğundan taşınmazlara ilişkin kesin yetki kuralına dayanabileceği ihtimal olarak değerlendirilse de burada gayrimenkulün aynına ilişkin bir uyuşmazlık yoktur. Şahsi bir hak olarak kira alacağı hakkı söz konusudur. Dolayısıyla Ahmet, HMK m. 12 hükmüne dayanamaz. İkinci ihtimal olarak Ahmet’in geçici olarak oturulan yer mahkemesine ilişkin HMK m. 8 hükmüne dayanması da gündeme gelebilir. Zira davalılar kira sözleşmesinin yapıldığı 2006-2010 yılları arasında Ankara’da oturmuşlardır. Öte yandan geçici olarak oturulan yer mahkemesinin yetkisinin taşınır ve alacak davalarına münhasır olması bakımından yapılacak olan değerlendirmede de herhangi bir olumsuzluk bulunmamaktadır. Zira açılan dava kira alacağı davasıdır. Burada Ahmet’in geçici olarak oturulan yer mahkemesinin yetkisine dayanamamasının sebebi, davanın açıldığı tarihte davalının artık Ankara’da yaşamıyor olmasıdır. Gerçekten de HMK m. 8 hükmünde, davanın belirtilen yerde açılabilmesi, davalının o yerde oturmasının uzunca bir süre olması şartına bağlanmıştır. Hükmün amacına ilişkin bu düzenleme karşısında artık o yerde oturmayan kimselere karşı orada dava açılmasının mümkün olmadığı sonucuna ulaşılır. Bir başka ifadeyle geçici olarak oturulan yer mahkemesinin yetkisi, ancak karşı tarafın davda tarihinde hâlen söz konusu yerde oturmaya devam ediyor ve uzunca bir süre de oturacak olması hâlinde geçerlidir.</w:t>
      </w:r>
    </w:p>
    <w:p w:rsidR="00B87AE5" w:rsidRDefault="00B87AE5" w:rsidP="00B87AE5">
      <w:pPr>
        <w:spacing w:line="240" w:lineRule="auto"/>
        <w:jc w:val="both"/>
        <w:rPr>
          <w:sz w:val="24"/>
          <w:szCs w:val="24"/>
        </w:rPr>
      </w:pPr>
      <w:r>
        <w:rPr>
          <w:b/>
          <w:sz w:val="24"/>
          <w:szCs w:val="24"/>
        </w:rPr>
        <w:t xml:space="preserve">4. </w:t>
      </w:r>
      <w:r>
        <w:rPr>
          <w:sz w:val="24"/>
          <w:szCs w:val="24"/>
        </w:rPr>
        <w:t>Hâkimin yasaklılığı, HMK m. 34 ve devamında düzenlenmiştir. Hâkimin yasaklılığı sebepleri tahdidi, yani sınırlı sayıda düzenlenmiştir. Dolayısıyla bu sebeplerin gerek taraflarca gerekse de hâkim tarafından ne genişletilmesi ne de sınırlandırılması mümkündür. Bu bağlamda yasaklılık sebepleri çerçevesinde bir değerlendirme yapıldığında hâkim Hasan’ın yasaklılığını gerektiren herhangi bir durumun söz konusu olmadığı görülmektedir.</w:t>
      </w:r>
    </w:p>
    <w:p w:rsidR="00B87AE5" w:rsidRDefault="00B87AE5" w:rsidP="00B87AE5">
      <w:pPr>
        <w:spacing w:line="240" w:lineRule="auto"/>
        <w:jc w:val="both"/>
        <w:rPr>
          <w:sz w:val="24"/>
          <w:szCs w:val="24"/>
        </w:rPr>
      </w:pPr>
      <w:r>
        <w:rPr>
          <w:b/>
          <w:sz w:val="24"/>
          <w:szCs w:val="24"/>
        </w:rPr>
        <w:t xml:space="preserve">5. </w:t>
      </w:r>
      <w:r>
        <w:rPr>
          <w:sz w:val="24"/>
          <w:szCs w:val="24"/>
        </w:rPr>
        <w:t>Önemle vurgulamak gerekir ki davaya bakan hâkim ile iki taraftan birinin vekili arasında hısımlık ilişkisinin bulunması hâkim bakımından herhangi bir sonuç doğurmaz. Bir başka ifadeyle tarafların vekilleri ile hâkim arasındaki ilişki hâkimin davaya bakamamasını, bu anlamda yasaklılığını veya reddini gündeme getirmez. Bilakis bu durumda çekilmesi gereken vekildir. Gerçekten de 1136 sayılı Avukatlık Kanunu’nun 13’üncü maddesi hükmü uyarınca bir hâkim veya cumhuriyet savcısının eşi, sebep veya nesep itibariyle usul ve füruundan veya ikinci dereceye kadar (bu derece dâhil) hısımlarından olan avukat, o hâkim veya cumhuriyet savcısının baktığı dava ve işlerde avukatlık edemeyecektir. Sonuç olarak Burhan, karşı tarafın vekilinin hâkim Hasan’ın oğlu olduğunu ileri sürerek hâkim Hasan’ın yasaklılığını ileri süremez.</w:t>
      </w:r>
    </w:p>
    <w:p w:rsidR="00B87AE5" w:rsidRDefault="00B87AE5" w:rsidP="00B87AE5">
      <w:pPr>
        <w:spacing w:line="240" w:lineRule="auto"/>
        <w:jc w:val="both"/>
        <w:rPr>
          <w:sz w:val="24"/>
          <w:szCs w:val="24"/>
        </w:rPr>
      </w:pPr>
      <w:r>
        <w:rPr>
          <w:b/>
          <w:sz w:val="24"/>
          <w:szCs w:val="24"/>
        </w:rPr>
        <w:t>6.</w:t>
      </w:r>
      <w:r>
        <w:rPr>
          <w:sz w:val="24"/>
          <w:szCs w:val="24"/>
        </w:rPr>
        <w:t xml:space="preserve"> Evet, Burhan bu durumda HMK m. 36 ve devamında düzenlenen hâkimin reddi müessesesine başvurabilir. Her ne kadar olayda HMK m. 34’te tahdidi olarak düzenlenen yasaklılık hâllerine giren bir durum bulunmasa da, hâkimin reddi istenebilir. Zira hâkimin reddi sebepleri, yasaklılık hâllerinden farklı olarak örnekseme yoluyla düzenlenmiştir. HMK m. 36 hükmüne göre “</w:t>
      </w:r>
      <w:r>
        <w:rPr>
          <w:i/>
          <w:sz w:val="24"/>
          <w:szCs w:val="24"/>
        </w:rPr>
        <w:t>Hâkimin tarafsızlığından şüpheyi gerektiren önemli sebeplerin varlığı hâlinde…</w:t>
      </w:r>
      <w:r>
        <w:rPr>
          <w:sz w:val="24"/>
          <w:szCs w:val="24"/>
        </w:rPr>
        <w:t>” ve “</w:t>
      </w:r>
      <w:r>
        <w:rPr>
          <w:i/>
          <w:sz w:val="24"/>
          <w:szCs w:val="24"/>
        </w:rPr>
        <w:t>…özellikle aşağıdaki hâllerde, hâkimin reddi sebebinin varlığı kabul edilir…</w:t>
      </w:r>
      <w:r>
        <w:rPr>
          <w:sz w:val="24"/>
          <w:szCs w:val="24"/>
        </w:rPr>
        <w:t xml:space="preserve">” ifadelerinden hâkimin reddi sebeplerinin tahdidi olmadığı sonucuna ulaşılır. Dolayısıyla Burhan, hâkim Hasan’ın davalı Ahmet’le olan dünürlük ilişkisini, hâkimin tarafsızlığından şüpheyi gerektiren önemli bir sebep olarak ileri sürmek suretiyle hâkimin reddini talep edebilir. Hâkimin reddi usulü HMK m. 38’de düzenlenmiştir. Buna göre hâkimin reddi, ret </w:t>
      </w:r>
      <w:r>
        <w:rPr>
          <w:sz w:val="24"/>
          <w:szCs w:val="24"/>
        </w:rPr>
        <w:lastRenderedPageBreak/>
        <w:t>sebebinin bilinmesinin ardından en geç ilk duruşmada dilekçeyle ileri sürülmelidir ve ret talebinin geri alınması mümkün değildir.</w:t>
      </w:r>
    </w:p>
    <w:p w:rsidR="00B87AE5" w:rsidRDefault="00B87AE5" w:rsidP="00B87AE5">
      <w:pPr>
        <w:spacing w:line="240" w:lineRule="auto"/>
        <w:jc w:val="both"/>
        <w:rPr>
          <w:sz w:val="24"/>
          <w:szCs w:val="24"/>
        </w:rPr>
      </w:pPr>
      <w:r>
        <w:rPr>
          <w:b/>
          <w:sz w:val="24"/>
          <w:szCs w:val="24"/>
        </w:rPr>
        <w:t>7.</w:t>
      </w:r>
      <w:r>
        <w:rPr>
          <w:sz w:val="24"/>
          <w:szCs w:val="24"/>
        </w:rPr>
        <w:t xml:space="preserve"> Dava sulh hukuk mahkemesinin görevine girdiğinden, HMK m. 316/1,a hükmüne göre sulh hukuk mahkemelerinde aksi belirtilmedikçe basit yargılama usulü uygulandığından, ön inceleme aşamasından sonra takip eden oturumda dava ile ilgili karar verilmesi mümkündür. Hatta basit yargılama usulünde HMK m. 320/3 hükmüne göre tahkikat, kural olarak, ön inceleme duruşması hariç iki duruşmada tamamlanarak karar verilir. Görüldüğü gibi ön inceleme duruşmasını takip eden duruşmada karar verilmesi, Kanun düzenlemelerine göre herhangi bir sıkıntı taşımamaktadır. Ancak burada asıl problem, Burhan’ın ön inceleme duruşmasına davet edilmeksizin ön inceleme aşamasının yapılmasıdır. Ön inceleme, basit yargılama usulünde de mutlak surette uygulanması gereken bir aşamadır. Bu anlamda Burhan’a davetiye yapılmaksızın ön inceleme aşamasının tamamlanması, HMK m. 27’de düzenlenen hukukî dinlenilme hakkının ihlâli niteliğindedir. Zira hukukî dinlenilme hakkının üç önemli unsurundan ilki, bilgilenme hakkıdır ve kamu düzeninden olan tebligat müessesesiyle sağlanır.</w:t>
      </w:r>
    </w:p>
    <w:p w:rsidR="00B87AE5" w:rsidRDefault="00B87AE5" w:rsidP="00B87AE5">
      <w:pPr>
        <w:spacing w:line="240" w:lineRule="auto"/>
        <w:jc w:val="both"/>
        <w:rPr>
          <w:b/>
          <w:sz w:val="24"/>
          <w:szCs w:val="24"/>
        </w:rPr>
      </w:pPr>
      <w:r>
        <w:rPr>
          <w:b/>
          <w:sz w:val="24"/>
          <w:szCs w:val="24"/>
        </w:rPr>
        <w:t xml:space="preserve">8. </w:t>
      </w:r>
      <w:r>
        <w:rPr>
          <w:sz w:val="24"/>
          <w:szCs w:val="24"/>
        </w:rPr>
        <w:t xml:space="preserve">Aydın’ın ihtiyati tedbir talebi bakımından Ankara Asliye Ticaret Mahkemesi görevli ve yetkili değildir. Zira ihtiyati tedbirler bakımından görev ve yetkiye ilişkin olarak, tedbirin esas hakkındaki davanın açılmasından önce talep edilmiş olması hâlinde esas hakkındaki görevli ve yetkili mahkemeden talep edilmesi gerekir (HMK m. 390/1). Bu bağlamda bir defa uyuşmazlık, ticari dava kapsamına girmediğinden ticaret mahkemeleri değil, HMK m. 2 gereğince malvarlığına ilişkin bir uyuşmazlık söz konusu olduğundan asliye hukuk mahkemelerinin görevine girmektedir. Öte yandan asıl dava bakımından yetkili mahkeme de Bursa mahkemeleri olduğundan, yetki noktasında da yanlışlık söz konusudur. Burhan bu durumda ihtiyati tedbir kararına itiraz edebilir. HMK m.394/2 hükmüne göre, ihtiyati tedbirin şartlarına, mahkemenin yetkisine ve teminata itiraz edilebilir. İtirazın, tedbir kararının uygulanması sırasında hazır bulunulması hâlinde bu tarihten; hazır bulunulmuyorsa tedbirin uygulanmasına ilişkin tutanağın tebliğinden itibaren bir hafta içerisinde tedbir kararını veren mahkemeye sunulacak dilekçeyle yapılması gerekir. </w:t>
      </w:r>
      <w:r>
        <w:rPr>
          <w:b/>
          <w:sz w:val="24"/>
          <w:szCs w:val="24"/>
        </w:rPr>
        <w:t xml:space="preserve"> </w:t>
      </w:r>
    </w:p>
    <w:p w:rsidR="00B87AE5" w:rsidRDefault="00B87AE5" w:rsidP="00B87AE5">
      <w:pPr>
        <w:spacing w:line="240" w:lineRule="auto"/>
        <w:jc w:val="both"/>
        <w:rPr>
          <w:sz w:val="24"/>
          <w:szCs w:val="24"/>
        </w:rPr>
      </w:pPr>
      <w:r>
        <w:rPr>
          <w:b/>
          <w:sz w:val="24"/>
          <w:szCs w:val="24"/>
        </w:rPr>
        <w:t xml:space="preserve">9. </w:t>
      </w:r>
      <w:r>
        <w:rPr>
          <w:sz w:val="24"/>
          <w:szCs w:val="24"/>
        </w:rPr>
        <w:t>6545 sayılı Kanun’un 45’inci maddesiyle 5235 sayılı Adlî Yargı İlk Derece Mahkemeleri ile Bölge Adliye Mahkemelerinin Kuruluş, Görev ve Yetkileri Hakkında Kanun’un 5’inci maddesinde yapılan değişiklik ile asliye ticaret mahkemelerinin tekrar heyet hâlinde, bir başkan ve yeteri kadar üyeden teşekkül edeceği düzenlenmiştir. Ancak her uyuşmazlık değil, Kanun’da belirtilen dava ve işlerde heyet hâlinde yargılama yapılır. Buna göre;</w:t>
      </w:r>
    </w:p>
    <w:p w:rsidR="00B87AE5" w:rsidRDefault="00B87AE5" w:rsidP="00B87AE5">
      <w:pPr>
        <w:pStyle w:val="ListeParagraf"/>
        <w:numPr>
          <w:ilvl w:val="0"/>
          <w:numId w:val="4"/>
        </w:numPr>
        <w:spacing w:line="240" w:lineRule="auto"/>
        <w:jc w:val="both"/>
        <w:rPr>
          <w:sz w:val="24"/>
          <w:szCs w:val="24"/>
        </w:rPr>
      </w:pPr>
      <w:r>
        <w:rPr>
          <w:sz w:val="24"/>
          <w:szCs w:val="24"/>
        </w:rPr>
        <w:t>Konusu parayla ölçülebilen uyuşmazlıklarda dava değeri üç yüz bin Türk lirasının üzerinde olan dava ve işler ile dava değerine bakılmaksızın;</w:t>
      </w:r>
    </w:p>
    <w:p w:rsidR="00B87AE5" w:rsidRDefault="00B87AE5" w:rsidP="00B87AE5">
      <w:pPr>
        <w:pStyle w:val="ListeParagraf"/>
        <w:numPr>
          <w:ilvl w:val="0"/>
          <w:numId w:val="4"/>
        </w:numPr>
        <w:spacing w:line="240" w:lineRule="auto"/>
        <w:jc w:val="both"/>
        <w:rPr>
          <w:sz w:val="24"/>
          <w:szCs w:val="24"/>
        </w:rPr>
      </w:pPr>
      <w:r>
        <w:rPr>
          <w:sz w:val="24"/>
          <w:szCs w:val="24"/>
        </w:rPr>
        <w:t xml:space="preserve">İflas, iflasın ertelenmesi, iflasın kaldırılması, iflasın kapatılması, </w:t>
      </w:r>
      <w:proofErr w:type="gramStart"/>
      <w:r>
        <w:rPr>
          <w:sz w:val="24"/>
          <w:szCs w:val="24"/>
        </w:rPr>
        <w:t>konkordato</w:t>
      </w:r>
      <w:proofErr w:type="gramEnd"/>
      <w:r>
        <w:rPr>
          <w:sz w:val="24"/>
          <w:szCs w:val="24"/>
        </w:rPr>
        <w:t xml:space="preserve"> ve yeniden yapılandırmadan kaynaklanan davalara,</w:t>
      </w:r>
    </w:p>
    <w:p w:rsidR="00B87AE5" w:rsidRDefault="00B87AE5" w:rsidP="00B87AE5">
      <w:pPr>
        <w:pStyle w:val="ListeParagraf"/>
        <w:numPr>
          <w:ilvl w:val="0"/>
          <w:numId w:val="4"/>
        </w:numPr>
        <w:spacing w:line="240" w:lineRule="auto"/>
        <w:jc w:val="both"/>
        <w:rPr>
          <w:sz w:val="24"/>
          <w:szCs w:val="24"/>
        </w:rPr>
      </w:pPr>
      <w:proofErr w:type="gramStart"/>
      <w:r>
        <w:rPr>
          <w:sz w:val="24"/>
          <w:szCs w:val="24"/>
        </w:rPr>
        <w:t>13/1/2011</w:t>
      </w:r>
      <w:proofErr w:type="gramEnd"/>
      <w:r>
        <w:rPr>
          <w:sz w:val="24"/>
          <w:szCs w:val="24"/>
        </w:rPr>
        <w:t xml:space="preserve"> tarihli ve 6102 sayılı Türk Ticaret Kanununda hâkimin kesin olarak karara bağlayacağı işler ile davalara,</w:t>
      </w:r>
    </w:p>
    <w:p w:rsidR="00B87AE5" w:rsidRDefault="00B87AE5" w:rsidP="00B87AE5">
      <w:pPr>
        <w:pStyle w:val="ListeParagraf"/>
        <w:numPr>
          <w:ilvl w:val="0"/>
          <w:numId w:val="4"/>
        </w:numPr>
        <w:spacing w:line="240" w:lineRule="auto"/>
        <w:jc w:val="both"/>
        <w:rPr>
          <w:sz w:val="24"/>
          <w:szCs w:val="24"/>
        </w:rPr>
      </w:pPr>
      <w:r>
        <w:rPr>
          <w:sz w:val="24"/>
          <w:szCs w:val="24"/>
        </w:rPr>
        <w:t>Şirketler ve kooperatifler hukukundan kaynaklanan genel kurul kararlarının iptali ve butlanına ilişkin davalara, yönetim organları ve denetim organları aleyhine açılacak sorumluluk davalarına, organların azline ve geçici organ atanmasına ilişkin davalara, fesih, infisah ve tasfiyeye yönelik davalara,</w:t>
      </w:r>
    </w:p>
    <w:p w:rsidR="00B87AE5" w:rsidRDefault="00B87AE5" w:rsidP="00B87AE5">
      <w:pPr>
        <w:pStyle w:val="ListeParagraf"/>
        <w:numPr>
          <w:ilvl w:val="0"/>
          <w:numId w:val="4"/>
        </w:numPr>
        <w:spacing w:line="240" w:lineRule="auto"/>
        <w:jc w:val="both"/>
        <w:rPr>
          <w:sz w:val="24"/>
          <w:szCs w:val="24"/>
        </w:rPr>
      </w:pPr>
      <w:proofErr w:type="gramStart"/>
      <w:r>
        <w:rPr>
          <w:sz w:val="24"/>
          <w:szCs w:val="24"/>
        </w:rPr>
        <w:lastRenderedPageBreak/>
        <w:t>12/1/2011</w:t>
      </w:r>
      <w:proofErr w:type="gramEnd"/>
      <w:r>
        <w:rPr>
          <w:sz w:val="24"/>
          <w:szCs w:val="24"/>
        </w:rPr>
        <w:t xml:space="preserve"> tarihli ve 6100 sayılı Hukuk Muhakemeleri Kanununa ve 21/6/2001 tarihli ve 4686 sayılı Milletlerarası Tahkim Kanununa göre yapılan tahkim yargılamasında; tahkim şartına ilişkin itirazlara, iptal davalarına, hakemlerin seçimi ve reddine yönelik davalar ile yabancı hakem kararlarının tanıma ve </w:t>
      </w:r>
      <w:proofErr w:type="spellStart"/>
      <w:r>
        <w:rPr>
          <w:sz w:val="24"/>
          <w:szCs w:val="24"/>
        </w:rPr>
        <w:t>tenfizine</w:t>
      </w:r>
      <w:proofErr w:type="spellEnd"/>
      <w:r>
        <w:rPr>
          <w:sz w:val="24"/>
          <w:szCs w:val="24"/>
        </w:rPr>
        <w:t xml:space="preserve"> yönelik davalara </w:t>
      </w:r>
    </w:p>
    <w:p w:rsidR="00B87AE5" w:rsidRDefault="00B87AE5" w:rsidP="00B87AE5">
      <w:pPr>
        <w:spacing w:line="240" w:lineRule="auto"/>
        <w:jc w:val="both"/>
        <w:rPr>
          <w:sz w:val="24"/>
          <w:szCs w:val="24"/>
        </w:rPr>
      </w:pPr>
      <w:proofErr w:type="gramStart"/>
      <w:r>
        <w:rPr>
          <w:sz w:val="24"/>
          <w:szCs w:val="24"/>
        </w:rPr>
        <w:t>heyet</w:t>
      </w:r>
      <w:proofErr w:type="gramEnd"/>
      <w:r>
        <w:rPr>
          <w:sz w:val="24"/>
          <w:szCs w:val="24"/>
        </w:rPr>
        <w:t xml:space="preserve"> hâlinde bakılacaktır. Aynı şekilde heyet hâlinde bakılması gereken söz konusu uyuşmazlıklara ilişkin geçici hukukî himaye tedbirleri taleplerinin de heyet hâlinde görülerek karara bağlanması gerekir. Dolayısıyla burada tek hâkim olarak da karar verilebilir. Zira heyet hâlinde bakılması gereken bir uyuşmazlık söz konusu değildir. Ancak burada önemle vurgulamak gerekir ki tek hâkimle bakılacak dava ve işler ile toplu hâlde bakılması gereken uyuşmazlıklarda, başkan ve üye hâkimlerin arasındaki dağılıma ilişkin esasların, denge sağlanacak şekilde mahkeme başkanı tarafından tespit edileceği düzenlenmiştir. Öte yandan söz konusu uyuşmazlıklar arasındaki ilişki de net olarak ortaya konulmadığından, bu ilişkiye dair hükümlere aykırılık hâlinde hangi hukukî imkâna başvurulabileceği tartışmalıdır. Örneğin 100.000 TL değeri olan bir davanın tek hâkimle görülmesi hâlinde hangi yola başvurulabileceği muammadır (burada bir ihtimal olarak hâkimin Kanun’a uygun olarak teşekkül etmemiş olmasından hareketle yargılanmasının yenilenmesi (HMK m. 375/1,a) gündeme gelebilir). Bu bağlamda asliye ticaret mahkemelerine ilişkin bu yeni düzenlemeler eleştiriye açıktır.</w:t>
      </w:r>
    </w:p>
    <w:p w:rsidR="00B87AE5" w:rsidRDefault="00B87AE5" w:rsidP="00B87AE5">
      <w:pPr>
        <w:spacing w:line="240" w:lineRule="auto"/>
        <w:jc w:val="both"/>
        <w:rPr>
          <w:sz w:val="24"/>
          <w:szCs w:val="24"/>
        </w:rPr>
      </w:pPr>
      <w:r>
        <w:rPr>
          <w:b/>
          <w:sz w:val="24"/>
          <w:szCs w:val="24"/>
        </w:rPr>
        <w:t>10.</w:t>
      </w:r>
      <w:r>
        <w:rPr>
          <w:sz w:val="24"/>
          <w:szCs w:val="24"/>
        </w:rPr>
        <w:t xml:space="preserve"> Hukuk Muhakemeleri Kanunu’nun 392’nci maddesinin ilk fıkrası hükmüne göre, talebin resmî belgeye veya başkaca kesin delile dayanması veya durum ve koşulların haklı göstermesi hâlleriyle adli yardım hükümlerinden yararlanılan hâllerde ihtiyati tedbirlerde teminat aranmaz. Bunun dışında kalan hâllerde ihtiyati tedbir kararlarının teminat karşılığında verileceği açıkça düzenlenmiştir. Dolayısıyla hâkim Hasan’ın, bu açık kanun düzenlemesine aykırı olarak teminat aranmaksızın tedbir kararı vermesi HMK m. 46/1,c hükmünde ifade olunan “</w:t>
      </w:r>
      <w:r>
        <w:rPr>
          <w:i/>
          <w:sz w:val="24"/>
          <w:szCs w:val="24"/>
        </w:rPr>
        <w:t>Farklı bir anlam yüklenemeyecek kadar açık ve kesin bir kanun hükmüne aykırı karar veya hüküm verilmiş olması</w:t>
      </w:r>
      <w:r>
        <w:rPr>
          <w:sz w:val="24"/>
          <w:szCs w:val="24"/>
        </w:rPr>
        <w:t xml:space="preserve">” hâlinin somut bir örneğini teşkil edecektir. Sonuç olarak bu durumda, tahdidi bir şekilde düzenlenen hâkimin hukukî sorumluluğuna ilişkin sebeplerden, farklı bir anlam yüklenemeyecek açık kanun hükmüne aykırı karar verilmesi sebebi gerçekleşmiş olduğundan, hâkim Hasan’ın hukukî sorumluluğuna gidilebilir. </w:t>
      </w:r>
    </w:p>
    <w:p w:rsidR="00B87AE5" w:rsidRDefault="00B87AE5" w:rsidP="00B87AE5">
      <w:pPr>
        <w:spacing w:line="240" w:lineRule="auto"/>
        <w:jc w:val="both"/>
        <w:rPr>
          <w:b/>
          <w:sz w:val="24"/>
          <w:szCs w:val="24"/>
        </w:rPr>
      </w:pPr>
    </w:p>
    <w:p w:rsidR="00B87AE5" w:rsidRDefault="00B87AE5" w:rsidP="00A85938">
      <w:pPr>
        <w:jc w:val="center"/>
        <w:rPr>
          <w:rFonts w:cs="Arial"/>
          <w:b/>
          <w:sz w:val="28"/>
          <w:szCs w:val="24"/>
        </w:rPr>
      </w:pPr>
    </w:p>
    <w:p w:rsidR="00B87AE5" w:rsidRDefault="00B87AE5" w:rsidP="00A85938">
      <w:pPr>
        <w:jc w:val="center"/>
        <w:rPr>
          <w:rFonts w:cs="Arial"/>
          <w:b/>
          <w:sz w:val="28"/>
          <w:szCs w:val="24"/>
        </w:rPr>
      </w:pPr>
    </w:p>
    <w:p w:rsidR="00B87AE5" w:rsidRDefault="00B87AE5" w:rsidP="00A85938">
      <w:pPr>
        <w:jc w:val="center"/>
        <w:rPr>
          <w:rFonts w:cs="Arial"/>
          <w:b/>
          <w:sz w:val="28"/>
          <w:szCs w:val="24"/>
        </w:rPr>
      </w:pPr>
    </w:p>
    <w:p w:rsidR="00B87AE5" w:rsidRDefault="00B87AE5" w:rsidP="00A85938">
      <w:pPr>
        <w:jc w:val="center"/>
        <w:rPr>
          <w:rFonts w:cs="Arial"/>
          <w:b/>
          <w:sz w:val="28"/>
          <w:szCs w:val="24"/>
        </w:rPr>
      </w:pPr>
    </w:p>
    <w:p w:rsidR="00B87AE5" w:rsidRDefault="00B87AE5" w:rsidP="00A85938">
      <w:pPr>
        <w:jc w:val="center"/>
        <w:rPr>
          <w:rFonts w:cs="Arial"/>
          <w:b/>
          <w:sz w:val="28"/>
          <w:szCs w:val="24"/>
        </w:rPr>
      </w:pPr>
    </w:p>
    <w:p w:rsidR="00B87AE5" w:rsidRDefault="00B87AE5" w:rsidP="00A85938">
      <w:pPr>
        <w:jc w:val="center"/>
        <w:rPr>
          <w:rFonts w:cs="Arial"/>
          <w:b/>
          <w:sz w:val="28"/>
          <w:szCs w:val="24"/>
        </w:rPr>
      </w:pPr>
      <w:bookmarkStart w:id="0" w:name="_GoBack"/>
      <w:bookmarkEnd w:id="0"/>
    </w:p>
    <w:p w:rsidR="000E5090" w:rsidRPr="009C2D1F" w:rsidRDefault="00A85938" w:rsidP="00A85938">
      <w:pPr>
        <w:jc w:val="center"/>
        <w:rPr>
          <w:rFonts w:cs="Arial"/>
          <w:sz w:val="24"/>
          <w:szCs w:val="24"/>
        </w:rPr>
      </w:pPr>
      <w:r w:rsidRPr="009C2D1F">
        <w:rPr>
          <w:rFonts w:cs="Arial"/>
          <w:b/>
          <w:sz w:val="28"/>
          <w:szCs w:val="24"/>
        </w:rPr>
        <w:lastRenderedPageBreak/>
        <w:t>2014-2015 Medeni Usul Hukuku I Pratik 2 Cevapları</w:t>
      </w:r>
      <w:r w:rsidR="009C2D1F">
        <w:rPr>
          <w:rStyle w:val="DipnotBavurusu"/>
          <w:rFonts w:cs="Arial"/>
          <w:sz w:val="24"/>
          <w:szCs w:val="24"/>
        </w:rPr>
        <w:footnoteReference w:id="1"/>
      </w:r>
    </w:p>
    <w:p w:rsidR="00A85938" w:rsidRPr="009C2D1F" w:rsidRDefault="00A85938" w:rsidP="00A85938">
      <w:pPr>
        <w:pStyle w:val="ListeParagraf"/>
        <w:numPr>
          <w:ilvl w:val="0"/>
          <w:numId w:val="1"/>
        </w:numPr>
        <w:jc w:val="both"/>
        <w:rPr>
          <w:rFonts w:cs="Arial"/>
          <w:sz w:val="24"/>
          <w:szCs w:val="24"/>
        </w:rPr>
      </w:pPr>
      <w:r w:rsidRPr="009C2D1F">
        <w:rPr>
          <w:rFonts w:cs="Arial"/>
          <w:sz w:val="24"/>
          <w:szCs w:val="24"/>
        </w:rPr>
        <w:t>Taraf ehliyeti kural olarak medeni hukuktaki hak ehliyetinin usûl hukukundaki görünümüdür (HMK m. 50, TMK m. 8, 48). Buna göre, ancak Türk Medeni Kanunu’na göre, hak ehliyeti olan her gerçek ve tüzel kişinin taraf ehliyeti vardır. (A)’</w:t>
      </w:r>
      <w:proofErr w:type="spellStart"/>
      <w:r w:rsidRPr="009C2D1F">
        <w:rPr>
          <w:rFonts w:cs="Arial"/>
          <w:sz w:val="24"/>
          <w:szCs w:val="24"/>
        </w:rPr>
        <w:t>nın</w:t>
      </w:r>
      <w:proofErr w:type="spellEnd"/>
      <w:r w:rsidRPr="009C2D1F">
        <w:rPr>
          <w:rFonts w:cs="Arial"/>
          <w:sz w:val="24"/>
          <w:szCs w:val="24"/>
        </w:rPr>
        <w:t xml:space="preserve"> kiracısı (B) ve (C)’den oluşan adî ortaklıktır. Adî ortaklığın tüzel kişiliği olmadığından, adî şirket olarak hak ehliyeti ve dolayısıyla taraf ehliyeti de bulunmamaktadır. Bu sebeple, adî ortaklığa ilişkin davalarda, ortaklığı oluşturan kişilerin taraf olarak hep birlikte hareket etmeleri gerekir. Ancak, adî şirkette ortaklar para borçlarından müteselsilen sorumludurlar (TBK m. 638). Bu durumda alacaklı, alacağını müteselsil borçlulardan birinden veya tamamından isteyebilir. Olayda da adî şirket ortaklarının müteselsilen sorumlu oldukları bir para borcu söz konusu olduğu için, (A), bu davayı (B) ile (C)’ye karşı birlikte veya bunlardan sadece birine karşı açabilir. Bu kişiler arasında müteselsil borçluluk nedeniyle ihtiyari dava arkadaşlığı vardır (HMK m. 57). İhtiyari dava arkadaşlarına karşı birlikte dava açıldığında da, her birinin davası birbirinden bağımsızdır (HMK m. 58).</w:t>
      </w:r>
    </w:p>
    <w:p w:rsidR="00A85938" w:rsidRPr="009C2D1F" w:rsidRDefault="00A85938" w:rsidP="00A85938">
      <w:pPr>
        <w:ind w:left="720"/>
        <w:jc w:val="both"/>
        <w:rPr>
          <w:rFonts w:cs="Arial"/>
          <w:sz w:val="24"/>
          <w:szCs w:val="24"/>
        </w:rPr>
      </w:pPr>
      <w:r w:rsidRPr="009C2D1F">
        <w:rPr>
          <w:rFonts w:cs="Arial"/>
          <w:sz w:val="24"/>
          <w:szCs w:val="24"/>
        </w:rPr>
        <w:t>Kural olarak, kira sözleşmesinde birden fazla kiracı varsa kiralananın tahliyesi davası bakımından kiracılar arasında mecburi dava arkadaşlığı vardır.</w:t>
      </w:r>
    </w:p>
    <w:p w:rsidR="00147B6E" w:rsidRPr="009C2D1F" w:rsidRDefault="00A85938" w:rsidP="009C2D1F">
      <w:pPr>
        <w:pStyle w:val="ListeParagraf"/>
        <w:numPr>
          <w:ilvl w:val="0"/>
          <w:numId w:val="1"/>
        </w:numPr>
        <w:jc w:val="both"/>
        <w:rPr>
          <w:rFonts w:cs="Arial"/>
          <w:sz w:val="24"/>
          <w:szCs w:val="24"/>
        </w:rPr>
      </w:pPr>
      <w:r w:rsidRPr="009C2D1F">
        <w:rPr>
          <w:rFonts w:cs="Arial"/>
          <w:sz w:val="24"/>
          <w:szCs w:val="24"/>
        </w:rPr>
        <w:t xml:space="preserve">Sıfat, dava konusu sübjektif hak ile taraflar arasındaki ilişkidir. Sıfat, maddi hukuka göre belirlenir. Taraf sıfatı, dava şartı değildir. Çünkü bir kimsenin hak sahibi veya borçlu olup olmadığı, davanın esasına girildikten sonra tespit edilebilir. Bu durumda ise dava esastan ret veya kabul edilir. Oysa dava şartları davanın esasına girilmesini engelleyen niteliktedir. Sıfat bir itiraz olduğundan, taraflarca ileri sürüldüğünde dikkate alınır. Ancak hâkim de diğer itirazlar gibi taraf sıfatını da dava dosyasından anlayabildiği sürece kendiliğinden dikkate alır. </w:t>
      </w:r>
      <w:r w:rsidR="00147B6E" w:rsidRPr="009C2D1F">
        <w:rPr>
          <w:rFonts w:cs="Arial"/>
          <w:sz w:val="24"/>
          <w:szCs w:val="24"/>
        </w:rPr>
        <w:t>Olayda da (A)’</w:t>
      </w:r>
      <w:proofErr w:type="spellStart"/>
      <w:r w:rsidR="00147B6E" w:rsidRPr="009C2D1F">
        <w:rPr>
          <w:rFonts w:cs="Arial"/>
          <w:sz w:val="24"/>
          <w:szCs w:val="24"/>
        </w:rPr>
        <w:t>nın</w:t>
      </w:r>
      <w:proofErr w:type="spellEnd"/>
      <w:r w:rsidR="00147B6E" w:rsidRPr="009C2D1F">
        <w:rPr>
          <w:rFonts w:cs="Arial"/>
          <w:sz w:val="24"/>
          <w:szCs w:val="24"/>
        </w:rPr>
        <w:t xml:space="preserve"> açtığı davada, o hakkı yerine getirmekle yükümlü olan, yani kira sözleşmesinin tarafı ve kirayı ödeyecek olan kişi (F) değil, (B) ve (C)’</w:t>
      </w:r>
      <w:proofErr w:type="spellStart"/>
      <w:r w:rsidR="00147B6E" w:rsidRPr="009C2D1F">
        <w:rPr>
          <w:rFonts w:cs="Arial"/>
          <w:sz w:val="24"/>
          <w:szCs w:val="24"/>
        </w:rPr>
        <w:t>dir</w:t>
      </w:r>
      <w:proofErr w:type="spellEnd"/>
      <w:r w:rsidR="00147B6E" w:rsidRPr="009C2D1F">
        <w:rPr>
          <w:rFonts w:cs="Arial"/>
          <w:sz w:val="24"/>
          <w:szCs w:val="24"/>
        </w:rPr>
        <w:t>. Bu hâlde taraf sıfatı da (B) ve (C)’ye aittir. Hâkim bu davayı taraf sıfatı yokluğundan reddetmelidir.</w:t>
      </w:r>
    </w:p>
    <w:p w:rsidR="009F7E6A" w:rsidRPr="009C2D1F" w:rsidRDefault="009F7E6A" w:rsidP="00147B6E">
      <w:pPr>
        <w:pStyle w:val="ListeParagraf"/>
        <w:jc w:val="both"/>
        <w:rPr>
          <w:rFonts w:cs="Arial"/>
          <w:sz w:val="24"/>
          <w:szCs w:val="24"/>
        </w:rPr>
      </w:pPr>
    </w:p>
    <w:p w:rsidR="00147B6E" w:rsidRPr="009C2D1F" w:rsidRDefault="00147B6E" w:rsidP="00147B6E">
      <w:pPr>
        <w:pStyle w:val="ListeParagraf"/>
        <w:numPr>
          <w:ilvl w:val="0"/>
          <w:numId w:val="1"/>
        </w:numPr>
        <w:jc w:val="both"/>
        <w:rPr>
          <w:rFonts w:cs="Arial"/>
          <w:sz w:val="24"/>
          <w:szCs w:val="24"/>
        </w:rPr>
      </w:pPr>
      <w:r w:rsidRPr="009C2D1F">
        <w:rPr>
          <w:rFonts w:cs="Arial"/>
          <w:sz w:val="24"/>
          <w:szCs w:val="24"/>
        </w:rPr>
        <w:t>Hukuk Muhakemeleri Kanunu’nun 55’inci maddesine göre, “</w:t>
      </w:r>
      <w:r w:rsidRPr="009C2D1F">
        <w:rPr>
          <w:rFonts w:cs="Arial"/>
          <w:i/>
          <w:sz w:val="24"/>
          <w:szCs w:val="24"/>
        </w:rPr>
        <w:t>Taraflardan birinin ölümü hâlinde, mirasçılar mirası kabul veya reddetmemişse, bu hususta kanunla belirlenen süreler geçinceye kadar dava ertelenir. Bununla beraber hâkim, gecikmesinde sakınca bulunan hâllerde, talep üzerine davayı takip için kayyım atanmasına karar verebilir.</w:t>
      </w:r>
      <w:r w:rsidRPr="009C2D1F">
        <w:rPr>
          <w:rFonts w:cs="Arial"/>
          <w:sz w:val="24"/>
          <w:szCs w:val="24"/>
        </w:rPr>
        <w:t>” Olayda davacı (A) ölürse, söz konusu uyuşmazlık malvarlığına ilişkin olduğundan, mirasçılar bu davaya devam edebilirler. Mirasçılar arasında mirasın taksimine kadar elbirliği mülkiyeti (iştirak hâlinde mülkiyet) bulunduğu için, (A)’</w:t>
      </w:r>
      <w:proofErr w:type="spellStart"/>
      <w:r w:rsidRPr="009C2D1F">
        <w:rPr>
          <w:rFonts w:cs="Arial"/>
          <w:sz w:val="24"/>
          <w:szCs w:val="24"/>
        </w:rPr>
        <w:t>nın</w:t>
      </w:r>
      <w:proofErr w:type="spellEnd"/>
      <w:r w:rsidRPr="009C2D1F">
        <w:rPr>
          <w:rFonts w:cs="Arial"/>
          <w:sz w:val="24"/>
          <w:szCs w:val="24"/>
        </w:rPr>
        <w:t xml:space="preserve"> mirasçıları mecburi dava arkadaşı olarak davacı tarafta yer alıp davayı sürdürebilirler.</w:t>
      </w:r>
    </w:p>
    <w:p w:rsidR="009F7E6A" w:rsidRPr="009C2D1F" w:rsidRDefault="009F7E6A" w:rsidP="009F7E6A">
      <w:pPr>
        <w:pStyle w:val="ListeParagraf"/>
        <w:jc w:val="both"/>
        <w:rPr>
          <w:rFonts w:cs="Arial"/>
          <w:sz w:val="24"/>
          <w:szCs w:val="24"/>
        </w:rPr>
      </w:pPr>
    </w:p>
    <w:p w:rsidR="00147B6E" w:rsidRPr="009C2D1F" w:rsidRDefault="00147B6E" w:rsidP="009C2D1F">
      <w:pPr>
        <w:pStyle w:val="ListeParagraf"/>
        <w:numPr>
          <w:ilvl w:val="0"/>
          <w:numId w:val="1"/>
        </w:numPr>
        <w:spacing w:after="0"/>
        <w:jc w:val="both"/>
        <w:rPr>
          <w:rFonts w:cs="Arial"/>
          <w:sz w:val="24"/>
          <w:szCs w:val="24"/>
        </w:rPr>
      </w:pPr>
      <w:r w:rsidRPr="009C2D1F">
        <w:rPr>
          <w:rFonts w:cs="Arial"/>
          <w:sz w:val="24"/>
          <w:szCs w:val="24"/>
        </w:rPr>
        <w:t xml:space="preserve">Burada (D)’nin taraf ehliyeti olmasına rağmen, - her gerçek kişi tam ve sağ doğmak şartıyla taraf ehliyetine sahiptir- dava ehliyeti yoktur. </w:t>
      </w:r>
      <w:proofErr w:type="gramStart"/>
      <w:r w:rsidRPr="009C2D1F">
        <w:rPr>
          <w:rFonts w:cs="Arial"/>
          <w:sz w:val="24"/>
          <w:szCs w:val="24"/>
        </w:rPr>
        <w:t>Zira,</w:t>
      </w:r>
      <w:proofErr w:type="gramEnd"/>
      <w:r w:rsidRPr="009C2D1F">
        <w:rPr>
          <w:rFonts w:cs="Arial"/>
          <w:sz w:val="24"/>
          <w:szCs w:val="24"/>
        </w:rPr>
        <w:t xml:space="preserve"> (D) 16 yaşını henüz doldurmuştur ve reşit olmadığından tam dava ehliyeti olmayıp sınırlı dava ehliyeti vardır. Dava ehliyeti olmayan (D), davanın tarafı olmakla birlikte, davayı onun adına kanunî temsilcisinin (velisi</w:t>
      </w:r>
      <w:r w:rsidR="009C2D1F" w:rsidRPr="009C2D1F">
        <w:rPr>
          <w:rFonts w:cs="Arial"/>
          <w:sz w:val="24"/>
          <w:szCs w:val="24"/>
        </w:rPr>
        <w:t>nin) açması gerekir. Ancak bu durumda (D)’nin açtığı dava hemen reddedilmez, kanunî temsilcisine</w:t>
      </w:r>
      <w:r w:rsidR="009C2D1F">
        <w:rPr>
          <w:rFonts w:cs="Arial"/>
          <w:sz w:val="24"/>
          <w:szCs w:val="24"/>
        </w:rPr>
        <w:t xml:space="preserve"> davaya</w:t>
      </w:r>
      <w:r w:rsidR="009C2D1F" w:rsidRPr="009C2D1F">
        <w:rPr>
          <w:rFonts w:cs="Arial"/>
          <w:sz w:val="24"/>
          <w:szCs w:val="24"/>
        </w:rPr>
        <w:t xml:space="preserve"> icazet</w:t>
      </w:r>
      <w:r w:rsidR="009C2D1F">
        <w:rPr>
          <w:rFonts w:cs="Arial"/>
          <w:sz w:val="24"/>
          <w:szCs w:val="24"/>
        </w:rPr>
        <w:t xml:space="preserve"> </w:t>
      </w:r>
      <w:r w:rsidRPr="009C2D1F">
        <w:rPr>
          <w:rFonts w:cs="Arial"/>
          <w:sz w:val="24"/>
          <w:szCs w:val="24"/>
        </w:rPr>
        <w:t xml:space="preserve">vermesi için uygun bir süre verilmesi gerekir. Bu süre içinde kanunî temsilci davaya icazet vererek kendisi veya tayin edeceği vekil davaya devam edebilir. İcazet vermezse dava şartı olan dava ehliyeti </w:t>
      </w:r>
      <w:r w:rsidR="00F12B2C" w:rsidRPr="009C2D1F">
        <w:rPr>
          <w:rFonts w:cs="Arial"/>
          <w:sz w:val="24"/>
          <w:szCs w:val="24"/>
        </w:rPr>
        <w:t xml:space="preserve">yokluğundan dava </w:t>
      </w:r>
      <w:proofErr w:type="spellStart"/>
      <w:r w:rsidR="00F12B2C" w:rsidRPr="009C2D1F">
        <w:rPr>
          <w:rFonts w:cs="Arial"/>
          <w:sz w:val="24"/>
          <w:szCs w:val="24"/>
        </w:rPr>
        <w:t>reddolunur</w:t>
      </w:r>
      <w:proofErr w:type="spellEnd"/>
      <w:r w:rsidR="00F12B2C" w:rsidRPr="009C2D1F">
        <w:rPr>
          <w:rFonts w:cs="Arial"/>
          <w:sz w:val="24"/>
          <w:szCs w:val="24"/>
        </w:rPr>
        <w:t>. Ayrıca, Hukuk Muhakemeleri Kanunu’nun 115’inci maddesinin ikinci fıkrasında yer alan, “</w:t>
      </w:r>
      <w:r w:rsidR="00F12B2C" w:rsidRPr="009C2D1F">
        <w:rPr>
          <w:rFonts w:cs="Arial"/>
          <w:i/>
          <w:sz w:val="24"/>
          <w:szCs w:val="24"/>
        </w:rPr>
        <w:t>Mahkeme, dava şartı noksanlığını tespit ederse davanın usulden reddine karar verir. Ancak, dava şartı noksanlığının giderilmesi mümkün ise bunun tamamlanması için kesin süre verir. Bu süre içinde dava şartı noksanlığı giderilmemişse davayı dava şartı yokluğu sebebiyle usulden reddeder.</w:t>
      </w:r>
      <w:r w:rsidR="00F12B2C" w:rsidRPr="009C2D1F">
        <w:rPr>
          <w:rFonts w:cs="Arial"/>
          <w:sz w:val="24"/>
          <w:szCs w:val="24"/>
        </w:rPr>
        <w:t>” Düzenlemesine göre hâkim öncelikle dava şartı yokluğunun tamamlanması yolunu tercih edecektir.</w:t>
      </w:r>
    </w:p>
    <w:p w:rsidR="009F7E6A" w:rsidRPr="009C2D1F" w:rsidRDefault="009F7E6A" w:rsidP="009F7E6A">
      <w:pPr>
        <w:pStyle w:val="ListeParagraf"/>
        <w:jc w:val="both"/>
        <w:rPr>
          <w:rFonts w:cs="Arial"/>
          <w:sz w:val="24"/>
          <w:szCs w:val="24"/>
        </w:rPr>
      </w:pPr>
    </w:p>
    <w:p w:rsidR="00F12B2C" w:rsidRPr="009C2D1F" w:rsidRDefault="00F12B2C" w:rsidP="009C2D1F">
      <w:pPr>
        <w:pStyle w:val="ListeParagraf"/>
        <w:numPr>
          <w:ilvl w:val="0"/>
          <w:numId w:val="1"/>
        </w:numPr>
        <w:jc w:val="both"/>
        <w:rPr>
          <w:rFonts w:cs="Arial"/>
          <w:sz w:val="24"/>
          <w:szCs w:val="24"/>
        </w:rPr>
      </w:pPr>
      <w:r w:rsidRPr="009C2D1F">
        <w:rPr>
          <w:rFonts w:cs="Arial"/>
          <w:sz w:val="24"/>
          <w:szCs w:val="24"/>
        </w:rPr>
        <w:t>Davalı (E) dava sırasında ölürse, bu hâlde taraf ehliyeti ortadan kakmıştır. Eğer taraf ehliyeti davanın başında mevcut iken daha sonra ortadan kalkmışsa, bu durumda dava hemen reddedilmez. Hâkimin, diğer tarafa, tarafın mirasçılarına karşı davaya devam edebilmesi için süre vermesi gerekir. Bu durumda süresi içinde mirasçılara karşı davaya devam edilebilir. Eğer davaya süresi içinde devam edilmezse, dava, taraf ehliyetinin sonra ermesi sebebiyle taraf ehliyeti yokluğundan reddedilir. Zira taraf ehliyeti dava şartlarındandır. Ancak davaya ölenin mirasçılarına karşı devam edilebilmesi için dava konusunun niteliğine bakm</w:t>
      </w:r>
      <w:r w:rsidR="00E86F1C">
        <w:rPr>
          <w:rFonts w:cs="Arial"/>
          <w:sz w:val="24"/>
          <w:szCs w:val="24"/>
        </w:rPr>
        <w:t xml:space="preserve">ak gerekir. Olayda, dava konusu </w:t>
      </w:r>
      <w:r w:rsidRPr="009C2D1F">
        <w:rPr>
          <w:rFonts w:cs="Arial"/>
          <w:sz w:val="24"/>
          <w:szCs w:val="24"/>
        </w:rPr>
        <w:t>sadece öleni ilgilendiren bir dava olmadığı için, bu davaya ölenin mirasçılarına karşı devam edilebilir. Burada malvarlığına ilişkin bir dava olduğundan (E)’nin mirasçılarına karşı davaya devam olunabilir. Davacı, (E)’nin mirasçılarına tebligat yaptırarak, davaya onlara karşı devam eder. Hukuk Muhakemeleri Kanunu’nun 55’inci maddesine göre, “</w:t>
      </w:r>
      <w:r w:rsidRPr="009C2D1F">
        <w:rPr>
          <w:rFonts w:cs="Arial"/>
          <w:i/>
          <w:sz w:val="24"/>
          <w:szCs w:val="24"/>
        </w:rPr>
        <w:t>Taraflardan birinin ölümü hâlinde, mirasçılar mirası kabul veya reddetmemişse, bu hususta kanunla belirlenen süreler geçinceye kadar dava ertelenir. Bununla beraber hâkim, gecikmesinde sakınca bulunan hâllerde, talep üzerine davayı takip için kayyım atanmasına karar verebilir.</w:t>
      </w:r>
      <w:r w:rsidRPr="009C2D1F">
        <w:rPr>
          <w:rFonts w:cs="Arial"/>
          <w:sz w:val="24"/>
          <w:szCs w:val="24"/>
        </w:rPr>
        <w:t>” Bu hükme göre, mirasçıların mirası kabul etmeleri veya Medeni Kanun’da belirtilen sürede reddetmemeleri durumunda da mirasçılara karşı davaya devam edilecek, mirasçılar belirlenene kadar bu surede de kural olarak dava ertelenecektir.</w:t>
      </w:r>
    </w:p>
    <w:p w:rsidR="009F7E6A" w:rsidRPr="009C2D1F" w:rsidRDefault="009F7E6A" w:rsidP="009F7E6A">
      <w:pPr>
        <w:pStyle w:val="ListeParagraf"/>
        <w:jc w:val="both"/>
        <w:rPr>
          <w:rFonts w:cs="Arial"/>
          <w:sz w:val="24"/>
          <w:szCs w:val="24"/>
        </w:rPr>
      </w:pPr>
    </w:p>
    <w:p w:rsidR="00F12B2C" w:rsidRPr="009C2D1F" w:rsidRDefault="00F12B2C" w:rsidP="009C2D1F">
      <w:pPr>
        <w:pStyle w:val="ListeParagraf"/>
        <w:numPr>
          <w:ilvl w:val="0"/>
          <w:numId w:val="1"/>
        </w:numPr>
        <w:jc w:val="both"/>
        <w:rPr>
          <w:rFonts w:cs="Arial"/>
          <w:sz w:val="24"/>
          <w:szCs w:val="24"/>
        </w:rPr>
      </w:pPr>
      <w:r w:rsidRPr="009C2D1F">
        <w:rPr>
          <w:rFonts w:cs="Arial"/>
          <w:sz w:val="24"/>
          <w:szCs w:val="24"/>
        </w:rPr>
        <w:t>Dava açıldığı tarihte ölen kişinin artık taraf ehliyeti bulunmadığından, dava şartı eksikliğinden dava açılamaz. Ancak, buna rağmen dava açılmış ve daha sonra bu durum fark</w:t>
      </w:r>
      <w:r w:rsidR="00E86F1C">
        <w:rPr>
          <w:rFonts w:cs="Arial"/>
          <w:sz w:val="24"/>
          <w:szCs w:val="24"/>
        </w:rPr>
        <w:t xml:space="preserve"> </w:t>
      </w:r>
      <w:r w:rsidRPr="009C2D1F">
        <w:rPr>
          <w:rFonts w:cs="Arial"/>
          <w:sz w:val="24"/>
          <w:szCs w:val="24"/>
        </w:rPr>
        <w:t>edilmişse</w:t>
      </w:r>
      <w:r w:rsidR="00E86F1C">
        <w:rPr>
          <w:rFonts w:cs="Arial"/>
          <w:sz w:val="24"/>
          <w:szCs w:val="24"/>
        </w:rPr>
        <w:t>,</w:t>
      </w:r>
      <w:r w:rsidRPr="009C2D1F">
        <w:rPr>
          <w:rFonts w:cs="Arial"/>
          <w:sz w:val="24"/>
          <w:szCs w:val="24"/>
        </w:rPr>
        <w:t xml:space="preserve"> başka bir deyişle, taraf tüm yargılama boyunca taraf ehliyetine sahip değilse, yani taraf davadan önce ölmüşse bu durumda, taraf ehliyetinin </w:t>
      </w:r>
      <w:r w:rsidRPr="009C2D1F">
        <w:rPr>
          <w:rFonts w:cs="Arial"/>
          <w:sz w:val="24"/>
          <w:szCs w:val="24"/>
        </w:rPr>
        <w:lastRenderedPageBreak/>
        <w:t xml:space="preserve">olmaması sebebiyle dava reddedilmeli, verilen hüküm bozulmalıdır. Çünkü var olmayan bir kişiye karşı dava açılamaz ve yürütülemez. </w:t>
      </w:r>
      <w:r w:rsidR="00305E71" w:rsidRPr="009C2D1F">
        <w:rPr>
          <w:rFonts w:cs="Arial"/>
          <w:sz w:val="24"/>
          <w:szCs w:val="24"/>
        </w:rPr>
        <w:t>Ancak hiç kimse ölmüş ve taraf ehliyeti olmayan kişiye karşı bilerek dava açmaz. Bu şekilde bir dava açan davacı davalı olarak dilekçesinde gösterdiği kişinin öldüğü bilinmediği için davayı açmış olabilir. Böyle bir durumda davacının ölmüş kişiye karşı açtığı dava, taraf ehliyeti yokluğu nedeniyle reddedilmeden, ölenin mirasçılarına karşı sürdürülebilmelidir. Yargıtay, önceki içtihatlarında bu durumda davanın reddine karar verilmesi gerektiği, ölen kişiye karşı yanlışlıkla dahi dava açılmış olsa, böyle bir davada mirasçıların davaya dâhil edilmelerinin mümkün olmadığı, mirasçılara karşı ayrıca dava açılası gerektiği görüşünde idi. Ancak Hukuk Muhakemeleri Kanunu’nda iradi taraf değişikliğine izin verildiğinden (HMK m. 124/3, 4). Hukuk Muhakemeleri Kanunu’nun 124’üncü maddesinin üçüncü ve dördüncü fıkralarına göre; “</w:t>
      </w:r>
      <w:r w:rsidR="00305E71" w:rsidRPr="009C2D1F">
        <w:rPr>
          <w:rFonts w:cs="Arial"/>
          <w:i/>
          <w:sz w:val="24"/>
          <w:szCs w:val="24"/>
        </w:rPr>
        <w:t>(3) Ancak, maddi hatadan kaynaklanan veya dürüstlük kuralına aykırı olmayan taraf değişikliği talebi, karşı tarafın rızası aranmaksızın hâkim tarafından kabul edilir.</w:t>
      </w:r>
    </w:p>
    <w:p w:rsidR="00305E71" w:rsidRPr="009C2D1F" w:rsidRDefault="00305E71" w:rsidP="00305E71">
      <w:pPr>
        <w:pStyle w:val="ListeParagraf"/>
        <w:jc w:val="both"/>
        <w:rPr>
          <w:rFonts w:cs="Arial"/>
          <w:sz w:val="24"/>
          <w:szCs w:val="24"/>
        </w:rPr>
      </w:pPr>
      <w:r w:rsidRPr="009C2D1F">
        <w:rPr>
          <w:rFonts w:cs="Arial"/>
          <w:i/>
          <w:sz w:val="24"/>
          <w:szCs w:val="24"/>
        </w:rPr>
        <w:t>(4) Dava dilekçesinde tarafın yanlış veya eksik gösterilmesi kabul edilebilir bir yanılgıya dayanıyorsa, hâkim karşı tarafın rızasını aramaksızın taraf değişikliği talebini kabul edebilir. Bu durumda hâkim, davanın tarafı olmaktan çıkarılan ve aleyhine dava açılmasına sebebiyet vermeyen kişi lehine yargılama giderlerine hükmede.</w:t>
      </w:r>
      <w:r w:rsidRPr="009C2D1F">
        <w:rPr>
          <w:rFonts w:cs="Arial"/>
          <w:sz w:val="24"/>
          <w:szCs w:val="24"/>
        </w:rPr>
        <w:t>”</w:t>
      </w:r>
    </w:p>
    <w:p w:rsidR="00305E71" w:rsidRPr="009C2D1F" w:rsidRDefault="00305E71" w:rsidP="00305E71">
      <w:pPr>
        <w:pStyle w:val="ListeParagraf"/>
        <w:jc w:val="both"/>
        <w:rPr>
          <w:rFonts w:cs="Arial"/>
          <w:sz w:val="24"/>
          <w:szCs w:val="24"/>
        </w:rPr>
      </w:pPr>
      <w:r w:rsidRPr="009C2D1F">
        <w:rPr>
          <w:rFonts w:cs="Arial"/>
          <w:sz w:val="24"/>
          <w:szCs w:val="24"/>
        </w:rPr>
        <w:t>Bu durumda davacı, hatasını düzelterek tarafı değiştirir ve davaya mirasçılara karşı devam edilebilir.</w:t>
      </w:r>
    </w:p>
    <w:p w:rsidR="009F7E6A" w:rsidRPr="009C2D1F" w:rsidRDefault="009F7E6A" w:rsidP="00305E71">
      <w:pPr>
        <w:pStyle w:val="ListeParagraf"/>
        <w:jc w:val="both"/>
        <w:rPr>
          <w:rFonts w:cs="Arial"/>
          <w:sz w:val="24"/>
          <w:szCs w:val="24"/>
        </w:rPr>
      </w:pPr>
    </w:p>
    <w:p w:rsidR="00305E71" w:rsidRPr="009C2D1F" w:rsidRDefault="00305E71" w:rsidP="009C2D1F">
      <w:pPr>
        <w:pStyle w:val="ListeParagraf"/>
        <w:numPr>
          <w:ilvl w:val="0"/>
          <w:numId w:val="1"/>
        </w:numPr>
        <w:jc w:val="both"/>
        <w:rPr>
          <w:rFonts w:cs="Arial"/>
          <w:sz w:val="24"/>
          <w:szCs w:val="24"/>
        </w:rPr>
      </w:pPr>
      <w:r w:rsidRPr="009C2D1F">
        <w:rPr>
          <w:rFonts w:cs="Arial"/>
          <w:sz w:val="24"/>
          <w:szCs w:val="24"/>
        </w:rPr>
        <w:t>Vekil vekâletnamesini vermeden, davayla ilgili hiçbir işlem yapamayacağı için (HMK m. 77/1, c. 1) hâkimin, vekili davaya kabul etmemesi gerekir. Bu sebeple dava başka güne de ertelenemez. Ancak, gecikmesinde zarar umulan bir durum mevcut ise o zaman mahkemece vekâletnamesini getirmesi için vekile kesin bir süre verilerek duruşmaya kabul edilir (HMK m. 77/1, c. 2). Eğer vekil süresinde vekâletnamesini vermez veya asıl taraf da yapılan işlemleri aynı süre içinde kabul ettiğini dilekçeyle mahkemeye bildirmez ise yapılan işlemler hükümsüz kalır (HMK m. 77/1, c. 3)</w:t>
      </w:r>
      <w:r w:rsidR="00BA260A" w:rsidRPr="009C2D1F">
        <w:rPr>
          <w:rFonts w:cs="Arial"/>
          <w:sz w:val="24"/>
          <w:szCs w:val="24"/>
        </w:rPr>
        <w:t>.</w:t>
      </w:r>
    </w:p>
    <w:p w:rsidR="009F7E6A" w:rsidRPr="009C2D1F" w:rsidRDefault="009F7E6A" w:rsidP="009F7E6A">
      <w:pPr>
        <w:pStyle w:val="ListeParagraf"/>
        <w:jc w:val="both"/>
        <w:rPr>
          <w:rFonts w:cs="Arial"/>
          <w:sz w:val="24"/>
          <w:szCs w:val="24"/>
        </w:rPr>
      </w:pPr>
    </w:p>
    <w:p w:rsidR="00AD71C3" w:rsidRPr="009C2D1F" w:rsidRDefault="00AD71C3" w:rsidP="009C2D1F">
      <w:pPr>
        <w:pStyle w:val="ListeParagraf"/>
        <w:numPr>
          <w:ilvl w:val="0"/>
          <w:numId w:val="1"/>
        </w:numPr>
        <w:jc w:val="both"/>
        <w:rPr>
          <w:rFonts w:cs="Arial"/>
          <w:sz w:val="24"/>
          <w:szCs w:val="24"/>
        </w:rPr>
      </w:pPr>
      <w:r w:rsidRPr="009C2D1F">
        <w:rPr>
          <w:rFonts w:cs="Arial"/>
          <w:sz w:val="24"/>
          <w:szCs w:val="24"/>
        </w:rPr>
        <w:t>Burada dava konusu işlemin temelinde adî ortaklıkla ilgili yapılan bir işlem söz konusudur. Sözleşmenin yerine getirilmesi talep edilmektedir. Dolayısıyla para borcu dışında bir borç vardır. Adî ortaklıkta ortaklar iştirak hâlinde malik olup (TBK m. 638) mecburi dava arkadaşı durumundadırlar. Dolayısıyla, (A) ve (B)’nin birlikte davalı olarak gösterilmeleri gerekir.</w:t>
      </w:r>
    </w:p>
    <w:p w:rsidR="00AD71C3" w:rsidRPr="009C2D1F" w:rsidRDefault="00AD71C3" w:rsidP="00AD71C3">
      <w:pPr>
        <w:pStyle w:val="ListeParagraf"/>
        <w:jc w:val="both"/>
        <w:rPr>
          <w:rFonts w:cs="Arial"/>
          <w:sz w:val="24"/>
          <w:szCs w:val="24"/>
        </w:rPr>
      </w:pPr>
      <w:r w:rsidRPr="009C2D1F">
        <w:rPr>
          <w:rFonts w:cs="Arial"/>
          <w:sz w:val="24"/>
          <w:szCs w:val="24"/>
        </w:rPr>
        <w:t>Ancak, olayımızda yönetici ortak olarak (B) seçilmiştir. Yönetici ortağın ortakları temsil etme yetkisi cardır (TBK m. 637). Yargıtay kararlarında, adî ortaklıkta yönetici ortağın temsil yetkisinin no</w:t>
      </w:r>
      <w:r w:rsidR="00920C62" w:rsidRPr="009C2D1F">
        <w:rPr>
          <w:rFonts w:cs="Arial"/>
          <w:sz w:val="24"/>
          <w:szCs w:val="24"/>
        </w:rPr>
        <w:t>rmal bir temsil yetkisi olduğu</w:t>
      </w:r>
      <w:r w:rsidRPr="009C2D1F">
        <w:rPr>
          <w:rFonts w:cs="Arial"/>
          <w:sz w:val="24"/>
          <w:szCs w:val="24"/>
        </w:rPr>
        <w:t>, davada temsilin</w:t>
      </w:r>
      <w:r w:rsidR="00920C62" w:rsidRPr="009C2D1F">
        <w:rPr>
          <w:rFonts w:cs="Arial"/>
          <w:sz w:val="24"/>
          <w:szCs w:val="24"/>
        </w:rPr>
        <w:t xml:space="preserve"> ise fevkalâde işlerden olduğu</w:t>
      </w:r>
      <w:r w:rsidRPr="009C2D1F">
        <w:rPr>
          <w:rFonts w:cs="Arial"/>
          <w:sz w:val="24"/>
          <w:szCs w:val="24"/>
        </w:rPr>
        <w:t>, b</w:t>
      </w:r>
      <w:r w:rsidR="00920C62" w:rsidRPr="009C2D1F">
        <w:rPr>
          <w:rFonts w:cs="Arial"/>
          <w:sz w:val="24"/>
          <w:szCs w:val="24"/>
        </w:rPr>
        <w:t>u sebeple özel yetki gerektiği</w:t>
      </w:r>
      <w:r w:rsidRPr="009C2D1F">
        <w:rPr>
          <w:rFonts w:cs="Arial"/>
          <w:sz w:val="24"/>
          <w:szCs w:val="24"/>
        </w:rPr>
        <w:t xml:space="preserve"> belirt</w:t>
      </w:r>
      <w:r w:rsidR="00920C62" w:rsidRPr="009C2D1F">
        <w:rPr>
          <w:rFonts w:cs="Arial"/>
          <w:sz w:val="24"/>
          <w:szCs w:val="24"/>
        </w:rPr>
        <w:t>il</w:t>
      </w:r>
      <w:r w:rsidRPr="009C2D1F">
        <w:rPr>
          <w:rFonts w:cs="Arial"/>
          <w:sz w:val="24"/>
          <w:szCs w:val="24"/>
        </w:rPr>
        <w:t>erek</w:t>
      </w:r>
      <w:r w:rsidR="00920C62" w:rsidRPr="009C2D1F">
        <w:rPr>
          <w:rFonts w:cs="Arial"/>
          <w:sz w:val="24"/>
          <w:szCs w:val="24"/>
        </w:rPr>
        <w:t>,</w:t>
      </w:r>
      <w:r w:rsidRPr="009C2D1F">
        <w:rPr>
          <w:rFonts w:cs="Arial"/>
          <w:sz w:val="24"/>
          <w:szCs w:val="24"/>
        </w:rPr>
        <w:t xml:space="preserve"> eğer davada takip için özel yetki verilmişse, (B)’nin kendi adına asaleten, diğer ortakları da temsilen vekil tayin ettirerek onlar adına da dava açtırabileceği belirtilmektedir. Bu durumda dahi </w:t>
      </w:r>
      <w:r w:rsidRPr="009C2D1F">
        <w:rPr>
          <w:rFonts w:cs="Arial"/>
          <w:sz w:val="24"/>
          <w:szCs w:val="24"/>
        </w:rPr>
        <w:lastRenderedPageBreak/>
        <w:t>davacı konumundaki adî ortaklar arasında mecburi dava arkadaşlığının olduğunu belirtmektedir.</w:t>
      </w:r>
    </w:p>
    <w:p w:rsidR="009F7E6A" w:rsidRPr="009C2D1F" w:rsidRDefault="009F7E6A" w:rsidP="009F7E6A">
      <w:pPr>
        <w:pStyle w:val="ListeParagraf"/>
        <w:jc w:val="both"/>
        <w:rPr>
          <w:rFonts w:cs="Arial"/>
          <w:sz w:val="24"/>
          <w:szCs w:val="24"/>
        </w:rPr>
      </w:pPr>
    </w:p>
    <w:p w:rsidR="00AD71C3" w:rsidRPr="009C2D1F" w:rsidRDefault="00AD71C3" w:rsidP="009C2D1F">
      <w:pPr>
        <w:pStyle w:val="ListeParagraf"/>
        <w:numPr>
          <w:ilvl w:val="0"/>
          <w:numId w:val="1"/>
        </w:numPr>
        <w:jc w:val="both"/>
        <w:rPr>
          <w:rFonts w:cs="Arial"/>
          <w:sz w:val="24"/>
          <w:szCs w:val="24"/>
        </w:rPr>
      </w:pPr>
      <w:proofErr w:type="gramStart"/>
      <w:r w:rsidRPr="009C2D1F">
        <w:rPr>
          <w:rFonts w:cs="Arial"/>
          <w:sz w:val="24"/>
          <w:szCs w:val="24"/>
        </w:rPr>
        <w:t>a</w:t>
      </w:r>
      <w:proofErr w:type="gramEnd"/>
      <w:r w:rsidRPr="009C2D1F">
        <w:rPr>
          <w:rFonts w:cs="Arial"/>
          <w:sz w:val="24"/>
          <w:szCs w:val="24"/>
        </w:rPr>
        <w:t>. Hukuk Muhakemeleri Kanunu’nun 66’ncı maddesine göre fer’i müdahale ve 61’inci maddesine göre ihbar mümkündür. Çünkü (F)’nin bu davayı kaybetmesi hâlinde, ortaklığın hukukî durumunun etkilenmesi söz konusudur. Eğer, (F) bu davayı kaybederse, daha sonra ortaklığa rucû edecektir. Bu nedenle, (G)’nin açtığı davayı (F)’nin kazanmasında, dolayısıyla ortaklığın açılan bu davada (F)’nin yanında yer alarak ona yardım etmesinde hukukî yararı vardır. Ayrıca, rücu ilişkisinden dolayı ihbar da mümkündür. Davanın ihbarı sonucunda, ihbar edilen kişi davaya katılırsa davanın tarafı sıfatını kazanmaz. İhbar üzerine davaya katılan kişi lehine veya aleyhine hüküm verilemez.</w:t>
      </w:r>
    </w:p>
    <w:p w:rsidR="009F7E6A" w:rsidRPr="009C2D1F" w:rsidRDefault="009F7E6A" w:rsidP="009F7E6A">
      <w:pPr>
        <w:pStyle w:val="ListeParagraf"/>
        <w:jc w:val="both"/>
        <w:rPr>
          <w:rFonts w:cs="Arial"/>
          <w:sz w:val="24"/>
          <w:szCs w:val="24"/>
        </w:rPr>
      </w:pPr>
    </w:p>
    <w:p w:rsidR="00AD71C3" w:rsidRPr="009C2D1F" w:rsidRDefault="00AD71C3" w:rsidP="00AD71C3">
      <w:pPr>
        <w:pStyle w:val="ListeParagraf"/>
        <w:jc w:val="both"/>
        <w:rPr>
          <w:rFonts w:cs="Arial"/>
          <w:sz w:val="24"/>
          <w:szCs w:val="24"/>
        </w:rPr>
      </w:pPr>
      <w:proofErr w:type="gramStart"/>
      <w:r w:rsidRPr="009C2D1F">
        <w:rPr>
          <w:rFonts w:cs="Arial"/>
          <w:sz w:val="24"/>
          <w:szCs w:val="24"/>
        </w:rPr>
        <w:t>b</w:t>
      </w:r>
      <w:proofErr w:type="gramEnd"/>
      <w:r w:rsidRPr="009C2D1F">
        <w:rPr>
          <w:rFonts w:cs="Arial"/>
          <w:sz w:val="24"/>
          <w:szCs w:val="24"/>
        </w:rPr>
        <w:t xml:space="preserve">. Bu durumda (F), ortaklığa karşı rücu </w:t>
      </w:r>
      <w:r w:rsidR="009F7E6A" w:rsidRPr="009C2D1F">
        <w:rPr>
          <w:rFonts w:cs="Arial"/>
          <w:sz w:val="24"/>
          <w:szCs w:val="24"/>
        </w:rPr>
        <w:t>davası açabilir. Çünkü</w:t>
      </w:r>
      <w:r w:rsidRPr="009C2D1F">
        <w:rPr>
          <w:rFonts w:cs="Arial"/>
          <w:sz w:val="24"/>
          <w:szCs w:val="24"/>
        </w:rPr>
        <w:t xml:space="preserve"> (G)’nin ortaklığa yönelttiği talebinden dolayı, (F)’nin ortaklığa karşı rücu davası açmasında hukukî yararı bulunmaktadır. Rücû davası genel kurallara göre tespit edilecek görevli ve yetkili mahkemede açılacaktır.</w:t>
      </w:r>
    </w:p>
    <w:p w:rsidR="009F7E6A" w:rsidRPr="009C2D1F" w:rsidRDefault="009F7E6A" w:rsidP="00AD71C3">
      <w:pPr>
        <w:pStyle w:val="ListeParagraf"/>
        <w:jc w:val="both"/>
        <w:rPr>
          <w:rFonts w:cs="Arial"/>
          <w:sz w:val="24"/>
          <w:szCs w:val="24"/>
        </w:rPr>
      </w:pPr>
    </w:p>
    <w:p w:rsidR="009F7E6A" w:rsidRPr="009C2D1F" w:rsidRDefault="009F7E6A" w:rsidP="009C2D1F">
      <w:pPr>
        <w:pStyle w:val="ListeParagraf"/>
        <w:numPr>
          <w:ilvl w:val="0"/>
          <w:numId w:val="1"/>
        </w:numPr>
        <w:jc w:val="both"/>
        <w:rPr>
          <w:rFonts w:cs="Arial"/>
          <w:sz w:val="24"/>
          <w:szCs w:val="24"/>
        </w:rPr>
      </w:pPr>
      <w:proofErr w:type="gramStart"/>
      <w:r w:rsidRPr="009C2D1F">
        <w:rPr>
          <w:rFonts w:cs="Arial"/>
          <w:sz w:val="24"/>
          <w:szCs w:val="24"/>
        </w:rPr>
        <w:t>a</w:t>
      </w:r>
      <w:proofErr w:type="gramEnd"/>
      <w:r w:rsidRPr="009C2D1F">
        <w:rPr>
          <w:rFonts w:cs="Arial"/>
          <w:sz w:val="24"/>
          <w:szCs w:val="24"/>
        </w:rPr>
        <w:t>. Hukuk Muhakemeleri Kanunu’nun dava konusunun devri başlıklı 125’inci maddesinde, davanın açılmasından sonra davalı tarafın dava konusunu üçüncü bir kişiye devretmesi hâlinde davacının seçimlik hakları düzenlenmiştir. Buna göre HMK m. 125/1, a hükmünde dava konusunun dava sırasında üçüncü kişiye devredilmesi hâlinde davacının dava konusunu devreden tarafla olan davasından vazgeçerek dava konusunu devralan kişiye karşı davaya devam etme imkânı vardır. Dolayısıyla böyle bir durumda, davacı (G)’nin bu davaya (Ü)’ye karşı devam etmesi mümkündür. Bu takdirde davacının davayı kazanması hâlinde, dava konusunu devreden ve devralan yargılama giderlerinden müteselsilen sorumlu olur.</w:t>
      </w:r>
    </w:p>
    <w:p w:rsidR="009F7E6A" w:rsidRPr="009C2D1F" w:rsidRDefault="009F7E6A" w:rsidP="009F7E6A">
      <w:pPr>
        <w:pStyle w:val="ListeParagraf"/>
        <w:jc w:val="both"/>
        <w:rPr>
          <w:rFonts w:cs="Arial"/>
          <w:sz w:val="24"/>
          <w:szCs w:val="24"/>
        </w:rPr>
      </w:pPr>
    </w:p>
    <w:p w:rsidR="00EB3EB2" w:rsidRPr="009C2D1F" w:rsidRDefault="009F7E6A" w:rsidP="009F7E6A">
      <w:pPr>
        <w:pStyle w:val="ListeParagraf"/>
        <w:jc w:val="both"/>
        <w:rPr>
          <w:rFonts w:cs="Arial"/>
          <w:sz w:val="24"/>
          <w:szCs w:val="24"/>
        </w:rPr>
      </w:pPr>
      <w:proofErr w:type="gramStart"/>
      <w:r w:rsidRPr="009C2D1F">
        <w:rPr>
          <w:rFonts w:cs="Arial"/>
          <w:sz w:val="24"/>
          <w:szCs w:val="24"/>
        </w:rPr>
        <w:t>b</w:t>
      </w:r>
      <w:proofErr w:type="gramEnd"/>
      <w:r w:rsidRPr="009C2D1F">
        <w:rPr>
          <w:rFonts w:cs="Arial"/>
          <w:sz w:val="24"/>
          <w:szCs w:val="24"/>
        </w:rPr>
        <w:t>. Dava konusunun davalı tarafından üçüncü kişiye devredilmesi hâlinde, yukarıda da ifade olunduğu üzere davacının seçimlik hakları HMK m. 125’te düzenlenmiştir. Bu bağlamda davacının seçimlik haklarından ilki dava konusunu devralan kişiye karşı davaya devam etmedir. Bunun yanı sıra davacıya tanınan ikinci imkân da dilerse dava konusunu devreden, yani davanın davalısına karşı davaya tazminat alacağı olarak devam etme hakkıdır</w:t>
      </w:r>
      <w:r w:rsidR="00EB3EB2" w:rsidRPr="009C2D1F">
        <w:rPr>
          <w:rFonts w:cs="Arial"/>
          <w:sz w:val="24"/>
          <w:szCs w:val="24"/>
        </w:rPr>
        <w:t xml:space="preserve"> (HMK m. 125/1, b)</w:t>
      </w:r>
      <w:r w:rsidRPr="009C2D1F">
        <w:rPr>
          <w:rFonts w:cs="Arial"/>
          <w:sz w:val="24"/>
          <w:szCs w:val="24"/>
        </w:rPr>
        <w:t xml:space="preserve">. </w:t>
      </w:r>
      <w:r w:rsidR="00EB3EB2" w:rsidRPr="009C2D1F">
        <w:rPr>
          <w:rFonts w:cs="Arial"/>
          <w:sz w:val="24"/>
          <w:szCs w:val="24"/>
        </w:rPr>
        <w:t>Bir başka ifadeyle, davalının dava devam ederken dava konusunu üçüncü kişiye devretmesi hâlinde davacı, davaya devralan üçüncü kişiye karşı devam etmeyerek devredene karşı tazminat alacağı olarak devam etme hakkına sahiptir. Sonuç olarak (G), davaya (Ü)’ye karşı devam etmeyerek (F)’ye karşı tazminat davası olarak davasına devam edebilir.</w:t>
      </w:r>
    </w:p>
    <w:p w:rsidR="00EB3EB2" w:rsidRPr="009C2D1F" w:rsidRDefault="00EB3EB2" w:rsidP="009F7E6A">
      <w:pPr>
        <w:pStyle w:val="ListeParagraf"/>
        <w:jc w:val="both"/>
        <w:rPr>
          <w:rFonts w:cs="Arial"/>
          <w:sz w:val="24"/>
          <w:szCs w:val="24"/>
        </w:rPr>
      </w:pPr>
    </w:p>
    <w:p w:rsidR="009F7E6A" w:rsidRPr="009C2D1F" w:rsidRDefault="00EB3EB2" w:rsidP="009F7E6A">
      <w:pPr>
        <w:pStyle w:val="ListeParagraf"/>
        <w:jc w:val="both"/>
        <w:rPr>
          <w:rFonts w:cs="Arial"/>
          <w:sz w:val="24"/>
          <w:szCs w:val="24"/>
        </w:rPr>
      </w:pPr>
      <w:proofErr w:type="gramStart"/>
      <w:r w:rsidRPr="009C2D1F">
        <w:rPr>
          <w:rFonts w:cs="Arial"/>
          <w:sz w:val="24"/>
          <w:szCs w:val="24"/>
        </w:rPr>
        <w:t>c</w:t>
      </w:r>
      <w:proofErr w:type="gramEnd"/>
      <w:r w:rsidRPr="009C2D1F">
        <w:rPr>
          <w:rFonts w:cs="Arial"/>
          <w:sz w:val="24"/>
          <w:szCs w:val="24"/>
        </w:rPr>
        <w:t xml:space="preserve">. Hukuk Muhakemeleri Kanunu’nun 125’inci maddesinde, dava konusunun devri hâlinde davacının seçimlik hakları açıkça düzenlenmiş olmakla birlikte, seçimlik </w:t>
      </w:r>
      <w:r w:rsidRPr="009C2D1F">
        <w:rPr>
          <w:rFonts w:cs="Arial"/>
          <w:sz w:val="24"/>
          <w:szCs w:val="24"/>
        </w:rPr>
        <w:lastRenderedPageBreak/>
        <w:t xml:space="preserve">hakların kullanımına ilişkin açık düzenleme yapılmamıştır. Kuşkusuz bu seçimlik hakların kullanılabilmesi için </w:t>
      </w:r>
      <w:r w:rsidR="00920C62" w:rsidRPr="009C2D1F">
        <w:rPr>
          <w:rFonts w:cs="Arial"/>
          <w:sz w:val="24"/>
          <w:szCs w:val="24"/>
        </w:rPr>
        <w:t>dava konusunun davalı tarafça dava sırasında devredilmesi gerekir. Bu durumun ortaya çıkması hâlinde de hâkimin, davacıya, işaret edilen hüküm bağlamında öngörülen seçimlik haklarından hangisini seçtiğini sorması ve davaya seçimine göre devam etmesi gerekir. Bu noktada, davacının seçimlik hakkını kullanmaması veya hâkim tarafından kendisine sorulması üzerine herhangi bir cevap vermemesi hâlinde ise davaya hâkim tarafından belirlenecek şekilde devam edilmesi mümkün değildir. Zira dava konusu devredilmiş olduğundan, alınacak hükmün ona etki etmesi mümkün değildir. Hâkim, böyle bir durumun varlığı hâlinde davaya eskisi gibi davalıya karşı devam etmemeli, dava dosyasının işlemden kaldırılmasına karar vermesi gerekir (HMK m. 150).</w:t>
      </w:r>
    </w:p>
    <w:p w:rsidR="00305E71" w:rsidRPr="009C2D1F" w:rsidRDefault="00305E71" w:rsidP="00305E71">
      <w:pPr>
        <w:pStyle w:val="ListeParagraf"/>
        <w:jc w:val="both"/>
        <w:rPr>
          <w:rFonts w:cs="Arial"/>
          <w:sz w:val="24"/>
          <w:szCs w:val="24"/>
        </w:rPr>
      </w:pPr>
    </w:p>
    <w:sectPr w:rsidR="00305E71" w:rsidRPr="009C2D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01A" w:rsidRDefault="00F8301A" w:rsidP="009C2D1F">
      <w:pPr>
        <w:spacing w:after="0" w:line="240" w:lineRule="auto"/>
      </w:pPr>
      <w:r>
        <w:separator/>
      </w:r>
    </w:p>
  </w:endnote>
  <w:endnote w:type="continuationSeparator" w:id="0">
    <w:p w:rsidR="00F8301A" w:rsidRDefault="00F8301A" w:rsidP="009C2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01A" w:rsidRDefault="00F8301A" w:rsidP="009C2D1F">
      <w:pPr>
        <w:spacing w:after="0" w:line="240" w:lineRule="auto"/>
      </w:pPr>
      <w:r>
        <w:separator/>
      </w:r>
    </w:p>
  </w:footnote>
  <w:footnote w:type="continuationSeparator" w:id="0">
    <w:p w:rsidR="00F8301A" w:rsidRDefault="00F8301A" w:rsidP="009C2D1F">
      <w:pPr>
        <w:spacing w:after="0" w:line="240" w:lineRule="auto"/>
      </w:pPr>
      <w:r>
        <w:continuationSeparator/>
      </w:r>
    </w:p>
  </w:footnote>
  <w:footnote w:id="1">
    <w:p w:rsidR="009C2D1F" w:rsidRDefault="009C2D1F">
      <w:pPr>
        <w:pStyle w:val="DipnotMetni"/>
      </w:pPr>
      <w:r>
        <w:rPr>
          <w:rStyle w:val="DipnotBavurusu"/>
        </w:rPr>
        <w:footnoteRef/>
      </w:r>
      <w:r>
        <w:t xml:space="preserve"> </w:t>
      </w:r>
      <w:r w:rsidRPr="009C2D1F">
        <w:rPr>
          <w:rFonts w:ascii="Times New Roman" w:hAnsi="Times New Roman" w:cs="Times New Roman"/>
          <w:szCs w:val="24"/>
        </w:rPr>
        <w:t>Pratik olay ve ilk dokuz sorunun cevabı için bkz. PEKCANITEZ, Hakan/ÖZEKES, Muhammet/AKKAN, Mine; Medenî Usûl Hukuku Pratik Çalışmalar, 14. B</w:t>
      </w:r>
      <w:proofErr w:type="gramStart"/>
      <w:r w:rsidRPr="009C2D1F">
        <w:rPr>
          <w:rFonts w:ascii="Times New Roman" w:hAnsi="Times New Roman" w:cs="Times New Roman"/>
          <w:szCs w:val="24"/>
        </w:rPr>
        <w:t>.,</w:t>
      </w:r>
      <w:proofErr w:type="gramEnd"/>
      <w:r w:rsidRPr="009C2D1F">
        <w:rPr>
          <w:rFonts w:ascii="Times New Roman" w:hAnsi="Times New Roman" w:cs="Times New Roman"/>
          <w:szCs w:val="24"/>
        </w:rPr>
        <w:t xml:space="preserve"> Yetkin Yayıncılık, Ankara 2013, s. 53 vd.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B97DD0"/>
    <w:multiLevelType w:val="hybridMultilevel"/>
    <w:tmpl w:val="E2D4A490"/>
    <w:lvl w:ilvl="0" w:tplc="DB1668C4">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7315FDA"/>
    <w:multiLevelType w:val="hybridMultilevel"/>
    <w:tmpl w:val="FA24E478"/>
    <w:lvl w:ilvl="0" w:tplc="B7AA997E">
      <w:start w:val="4"/>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F8620AF"/>
    <w:multiLevelType w:val="hybridMultilevel"/>
    <w:tmpl w:val="28941456"/>
    <w:lvl w:ilvl="0" w:tplc="C9AEBFDE">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nsid w:val="787029A9"/>
    <w:multiLevelType w:val="hybridMultilevel"/>
    <w:tmpl w:val="0C488C40"/>
    <w:lvl w:ilvl="0" w:tplc="5DD88BB4">
      <w:start w:val="2014"/>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DDE"/>
    <w:rsid w:val="000E5090"/>
    <w:rsid w:val="00147B6E"/>
    <w:rsid w:val="00305E71"/>
    <w:rsid w:val="0066549D"/>
    <w:rsid w:val="00734DDE"/>
    <w:rsid w:val="00920C62"/>
    <w:rsid w:val="009C2D1F"/>
    <w:rsid w:val="009F7E6A"/>
    <w:rsid w:val="00A85938"/>
    <w:rsid w:val="00AD71C3"/>
    <w:rsid w:val="00B87AE5"/>
    <w:rsid w:val="00BA260A"/>
    <w:rsid w:val="00E86F1C"/>
    <w:rsid w:val="00EB3EB2"/>
    <w:rsid w:val="00F12B2C"/>
    <w:rsid w:val="00F830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5058E-7A01-4007-8F79-8B68A09D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85938"/>
    <w:pPr>
      <w:ind w:left="720"/>
      <w:contextualSpacing/>
    </w:pPr>
  </w:style>
  <w:style w:type="paragraph" w:styleId="DipnotMetni">
    <w:name w:val="footnote text"/>
    <w:basedOn w:val="Normal"/>
    <w:link w:val="DipnotMetniChar"/>
    <w:uiPriority w:val="99"/>
    <w:semiHidden/>
    <w:unhideWhenUsed/>
    <w:rsid w:val="009C2D1F"/>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9C2D1F"/>
    <w:rPr>
      <w:sz w:val="20"/>
      <w:szCs w:val="20"/>
    </w:rPr>
  </w:style>
  <w:style w:type="character" w:styleId="DipnotBavurusu">
    <w:name w:val="footnote reference"/>
    <w:basedOn w:val="VarsaylanParagrafYazTipi"/>
    <w:uiPriority w:val="99"/>
    <w:semiHidden/>
    <w:unhideWhenUsed/>
    <w:rsid w:val="009C2D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74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9</Pages>
  <Words>3838</Words>
  <Characters>21877</Characters>
  <Application>Microsoft Office Word</Application>
  <DocSecurity>0</DocSecurity>
  <Lines>182</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dc:creator>
  <cp:keywords/>
  <dc:description/>
  <cp:lastModifiedBy>KeMaL-Pc</cp:lastModifiedBy>
  <cp:revision>4</cp:revision>
  <dcterms:created xsi:type="dcterms:W3CDTF">2014-12-24T16:43:00Z</dcterms:created>
  <dcterms:modified xsi:type="dcterms:W3CDTF">2014-12-25T11:35:00Z</dcterms:modified>
</cp:coreProperties>
</file>