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4E" w:rsidRDefault="001E4C9F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78.75pt;height:480.15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Senato Kararları3"/>
            <w10:wrap type="none"/>
            <w10:anchorlock/>
          </v:shape>
        </w:pict>
      </w:r>
      <w:bookmarkStart w:id="0" w:name="_GoBack"/>
      <w:bookmarkEnd w:id="0"/>
    </w:p>
    <w:sectPr w:rsidR="0027494E" w:rsidSect="001E4C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C1"/>
    <w:rsid w:val="001E4C9F"/>
    <w:rsid w:val="0027494E"/>
    <w:rsid w:val="005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CAB7456-7CA5-4F67-9EFC-D65DB369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>rocco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2021-06-24T11:40:00Z</dcterms:created>
  <dcterms:modified xsi:type="dcterms:W3CDTF">2021-06-24T11:41:00Z</dcterms:modified>
</cp:coreProperties>
</file>