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EFB" w:rsidRPr="003A70E4" w:rsidRDefault="003A70E4" w:rsidP="00C03D54">
      <w:pPr>
        <w:jc w:val="both"/>
        <w:rPr>
          <w:b/>
        </w:rPr>
      </w:pPr>
      <w:r w:rsidRPr="003A70E4">
        <w:rPr>
          <w:b/>
        </w:rPr>
        <w:t xml:space="preserve">100/2000 YÖK DOKTORA BURS PROGRAMINA BAŞVURU </w:t>
      </w:r>
    </w:p>
    <w:p w:rsidR="00036EFB" w:rsidRPr="00123B0F" w:rsidRDefault="00123B0F" w:rsidP="00C03D54">
      <w:pPr>
        <w:jc w:val="both"/>
      </w:pPr>
      <w:r w:rsidRPr="00123B0F">
        <w:rPr>
          <w:b/>
        </w:rPr>
        <w:t>(1)</w:t>
      </w:r>
      <w:r>
        <w:rPr>
          <w:b/>
        </w:rPr>
        <w:t xml:space="preserve"> </w:t>
      </w:r>
      <w:r w:rsidR="00036EFB" w:rsidRPr="00123B0F">
        <w:t xml:space="preserve">100/2000 YÖK Doktora Burs Programına başvurabilmek için öğrencilerden aşağıdaki şartlar aranır.  </w:t>
      </w:r>
    </w:p>
    <w:p w:rsidR="00036EFB" w:rsidRDefault="00036EFB" w:rsidP="00C03D54">
      <w:pPr>
        <w:jc w:val="both"/>
      </w:pPr>
      <w:r w:rsidRPr="009A5DE5">
        <w:rPr>
          <w:b/>
        </w:rPr>
        <w:t>a)</w:t>
      </w:r>
      <w:r>
        <w:t xml:space="preserve"> T.C. vatandaşı olmak. </w:t>
      </w:r>
    </w:p>
    <w:p w:rsidR="00036EFB" w:rsidRDefault="00036EFB" w:rsidP="00C03D54">
      <w:pPr>
        <w:jc w:val="both"/>
      </w:pPr>
      <w:r w:rsidRPr="009A5DE5">
        <w:rPr>
          <w:b/>
        </w:rPr>
        <w:t>b)</w:t>
      </w:r>
      <w:r>
        <w:t xml:space="preserve"> Doktora programı için yüksek lisans derecesine sahip olmak.  Bütünleşik doktora programı için lisans derecesine sahip olmak. </w:t>
      </w:r>
    </w:p>
    <w:p w:rsidR="000B6670" w:rsidRPr="00C66C37" w:rsidRDefault="00036EFB" w:rsidP="000B6670">
      <w:pPr>
        <w:spacing w:after="150" w:line="300" w:lineRule="atLeast"/>
        <w:jc w:val="both"/>
        <w:rPr>
          <w:rFonts w:eastAsia="Times New Roman" w:cstheme="minorHAnsi"/>
          <w:b/>
          <w:color w:val="000000" w:themeColor="text1"/>
          <w:lang w:eastAsia="tr-TR"/>
        </w:rPr>
      </w:pPr>
      <w:r w:rsidRPr="009A5DE5">
        <w:rPr>
          <w:b/>
        </w:rPr>
        <w:t>c)</w:t>
      </w:r>
      <w:r>
        <w:t xml:space="preserve"> Lisansüstü Eğitim ve Öğretim Yönetmeliğinin ve başvuru yapılacak yükseköğretim kurumunun belirlediği başvuru ve kabul şartlarını taşıyor olmak.</w:t>
      </w:r>
      <w:r w:rsidR="000B6670">
        <w:t xml:space="preserve"> </w:t>
      </w:r>
      <w:r w:rsidR="000B6670" w:rsidRPr="00B4082A">
        <w:t>(</w:t>
      </w:r>
      <w:r w:rsidR="000B6670" w:rsidRPr="00DA67CE">
        <w:rPr>
          <w:b/>
        </w:rPr>
        <w:t>Bakınız</w:t>
      </w:r>
      <w:r w:rsidR="00AF7D32" w:rsidRPr="00DA67CE">
        <w:rPr>
          <w:b/>
        </w:rPr>
        <w:t>:</w:t>
      </w:r>
      <w:r w:rsidR="000B6670" w:rsidRPr="00B4082A">
        <w:t xml:space="preserve"> </w:t>
      </w:r>
      <w:r w:rsidR="000B6670" w:rsidRPr="00B4082A">
        <w:rPr>
          <w:rFonts w:eastAsia="Times New Roman" w:cstheme="minorHAnsi"/>
          <w:bCs/>
          <w:color w:val="000000" w:themeColor="text1"/>
          <w:lang w:eastAsia="tr-TR"/>
        </w:rPr>
        <w:t>Doktora ve sanatta yeterlik programlarına öğrenci kabulü</w:t>
      </w:r>
      <w:r w:rsidR="000B6670" w:rsidRPr="00B4082A">
        <w:rPr>
          <w:rFonts w:eastAsia="Times New Roman" w:cstheme="minorHAnsi"/>
          <w:bCs/>
          <w:color w:val="000000" w:themeColor="text1"/>
          <w:lang w:eastAsia="tr-TR"/>
        </w:rPr>
        <w:t>)</w:t>
      </w:r>
    </w:p>
    <w:p w:rsidR="00036EFB" w:rsidRDefault="00036EFB" w:rsidP="00C03D54">
      <w:pPr>
        <w:jc w:val="both"/>
      </w:pPr>
      <w:r w:rsidRPr="009A5DE5">
        <w:rPr>
          <w:b/>
        </w:rPr>
        <w:t>ç)</w:t>
      </w:r>
      <w:r>
        <w:t xml:space="preserve">  Herhangi bir işyerinde çalışmıyor olmak (Kamu, Özel ve diğer). </w:t>
      </w:r>
    </w:p>
    <w:p w:rsidR="00036EFB" w:rsidRDefault="00036EFB" w:rsidP="00C03D54">
      <w:pPr>
        <w:jc w:val="both"/>
      </w:pPr>
      <w:r w:rsidRPr="009A5DE5">
        <w:rPr>
          <w:b/>
        </w:rPr>
        <w:t>d)</w:t>
      </w:r>
      <w:r>
        <w:t xml:space="preserve"> Halen devlet yükseköğretim kurumunda doktora eğitimine devam ediyorsa tez aşamasına geçmemiş olmak.</w:t>
      </w:r>
    </w:p>
    <w:p w:rsidR="00B929E8" w:rsidRDefault="00B929E8" w:rsidP="00C03D54">
      <w:pPr>
        <w:jc w:val="both"/>
      </w:pPr>
      <w:bookmarkStart w:id="0" w:name="_GoBack"/>
      <w:bookmarkEnd w:id="0"/>
    </w:p>
    <w:p w:rsidR="00B4082A" w:rsidRPr="00C66C37" w:rsidRDefault="00B4082A" w:rsidP="00B4082A">
      <w:pPr>
        <w:spacing w:after="150" w:line="300" w:lineRule="atLeast"/>
        <w:jc w:val="both"/>
        <w:rPr>
          <w:rFonts w:eastAsia="Times New Roman" w:cstheme="minorHAnsi"/>
          <w:b/>
          <w:color w:val="000000" w:themeColor="text1"/>
          <w:lang w:eastAsia="tr-TR"/>
        </w:rPr>
      </w:pPr>
      <w:r w:rsidRPr="00DA67CE">
        <w:rPr>
          <w:rFonts w:eastAsia="Times New Roman" w:cstheme="minorHAnsi"/>
          <w:b/>
          <w:bCs/>
          <w:color w:val="000000" w:themeColor="text1"/>
          <w:lang w:eastAsia="tr-TR"/>
        </w:rPr>
        <w:t>Doktora ve sanatta yeterlik programlarına öğrenci kabulü</w:t>
      </w:r>
    </w:p>
    <w:p w:rsidR="00B4082A" w:rsidRPr="00C66C37" w:rsidRDefault="00890190"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(1</w:t>
      </w:r>
      <w:r w:rsidR="00B4082A" w:rsidRPr="00C66C37">
        <w:rPr>
          <w:rFonts w:eastAsia="Times New Roman" w:cstheme="minorHAnsi"/>
          <w:b/>
          <w:color w:val="000000" w:themeColor="text1"/>
          <w:lang w:eastAsia="tr-TR"/>
        </w:rPr>
        <w:t>)</w:t>
      </w:r>
      <w:r w:rsidR="00B4082A" w:rsidRPr="00C66C37">
        <w:rPr>
          <w:rFonts w:eastAsia="Times New Roman" w:cstheme="minorHAnsi"/>
          <w:color w:val="000000" w:themeColor="text1"/>
          <w:lang w:eastAsia="tr-TR"/>
        </w:rPr>
        <w:t xml:space="preserve"> Doktora/sanatta yeterlik programına başvurabilmek için adayların, yüksek lisans not ortalamasının en az 2.50/4.00 olması ve bir tezli yüksek lisans diploması veya Yükseköğretim Kurulunca verilmiş denklik/okul tanıma belgesine sahip olmaları gerekir.</w:t>
      </w:r>
    </w:p>
    <w:p w:rsidR="00B4082A" w:rsidRPr="00C66C37" w:rsidRDefault="00B4082A"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2</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Lisans sonrası doktora/sanatta yeterlik (bütünleşik doktora) programına kabul edilecek öğrenci sayısına, anabilim/anasanat dalı başkanlığının önerisi alınarak, enstitü yönetim kurulu karar verir. Bu sayı doktora kontenjanının yarısını geçemez.</w:t>
      </w:r>
    </w:p>
    <w:p w:rsidR="00B4082A" w:rsidRPr="00C66C37" w:rsidRDefault="00B4082A"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3</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Bir programda aynı anda hem bütünleşik doktora hem de yüksek lisans yapılamaz.</w:t>
      </w:r>
    </w:p>
    <w:p w:rsidR="00B4082A" w:rsidRPr="00C66C37" w:rsidRDefault="00B4082A"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4</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Lisans sonrası doktora/sanatta yeterlik programına başvurabilmek için adayların bir lisans diplomasına veya Yükseköğretim Kurulunca verilmiş lisans eğitimi denklik/okul tanıma belgesine sahip olmaları ve lisans not ortalamalarının en az 3.50/4.00 olması gerekir.</w:t>
      </w:r>
    </w:p>
    <w:p w:rsidR="00B4082A" w:rsidRPr="00C66C37" w:rsidRDefault="00B4082A"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5</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Hazırlık sınıfları hariç en az on yarıyıl süreli tıp, eczacılık, diş hekimliği, veteriner fakültesi mezunu veya Sağlık Bakanlığınca düzenlenen esaslara göre bir laboratuvar dalında kazanılan uzmanlık yetkisine sahip olan adaylar, yüksek lisans derecesine sahip sayılır ve doğrudan doktora programlarına başvurabilirler.</w:t>
      </w:r>
    </w:p>
    <w:p w:rsidR="00B4082A" w:rsidRPr="00C66C37" w:rsidRDefault="00B4082A"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6</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Doktora ve sanatta yeterlik programlarına başvurularda; tezli yüksek lisans sonrası için başvurulan programın puan türünde ALES’ten 60 ve üzeri, lisans sonrası için başvurulan programın puan türünde ise 85 ve üzeri veya Yükseköğretim Kurulunca denkliği verilmiş sınavlardan eşdeğer puan alınmış olması gerekir. Ancak, Güzel Sanatlar Fakültesinin ve Konservatuvarın enstitülerdeki anabilim ve anasanat dallarına öğrenci kabulünde güzel sanatlar fakülteleri ile konservatuvar mezunları ile diğer fakültelerin eşdeğer programlarından mezun olanlarda ALES puanı aranmaz. Ayrıca en az 50 Temel Tıp Puanı veya ALES sayısal puan türünden en az 60 puan ile de temel tıp birimlerine ait programlara öğrenci kabul edilebilir.</w:t>
      </w:r>
    </w:p>
    <w:p w:rsidR="00B4082A" w:rsidRPr="00C66C37" w:rsidRDefault="00B4082A"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7</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Tezli yüksek lisans sonrası başvurularda son 5 yıl içerisinde yapılan yabancı dil sınavından en az 55 puan, lisans sonrası bütünleşik doktora ve sanatta yeterlik programı için başvurularda ise en az 75 puan alınması zorunludur.</w:t>
      </w:r>
    </w:p>
    <w:p w:rsidR="00B4082A" w:rsidRPr="00C66C37" w:rsidRDefault="00B4082A"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8</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Yabancı dilde yürütülen programlara başvuracak adayların, uluslararası işbirliği yapılan üniversitelerden kabul edilmesi durumunda ilgili eğitim dilinde yabancı dil sınavından en az 75 puan alması zorunludur.</w:t>
      </w:r>
    </w:p>
    <w:p w:rsidR="00B4082A" w:rsidRPr="00C66C37" w:rsidRDefault="00B4082A" w:rsidP="00B4082A">
      <w:pPr>
        <w:spacing w:after="150" w:line="300" w:lineRule="atLeast"/>
        <w:jc w:val="both"/>
        <w:rPr>
          <w:rFonts w:eastAsia="Times New Roman" w:cstheme="minorHAnsi"/>
          <w:color w:val="000000" w:themeColor="text1"/>
          <w:lang w:eastAsia="tr-TR"/>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9</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Yabancı diller üzerine yürütülen doktora programlarına öğrenci kabulü için; adayların ilgili tezli yüksek lisans programından mezun olmaları veya ilgili yabancı dilde, yabancı dil sınavından en az 80 puan almış olmaları </w:t>
      </w:r>
      <w:r w:rsidRPr="00C66C37">
        <w:rPr>
          <w:rFonts w:eastAsia="Times New Roman" w:cstheme="minorHAnsi"/>
          <w:color w:val="000000" w:themeColor="text1"/>
          <w:lang w:eastAsia="tr-TR"/>
        </w:rPr>
        <w:lastRenderedPageBreak/>
        <w:t>zorunludur. Yabancı diller üzerine yürütülen programlarda adayların ikinci bir yabancı dilden en az 55 puan almış olmaları istenir.</w:t>
      </w:r>
    </w:p>
    <w:p w:rsidR="00B4082A" w:rsidRPr="00C66C37" w:rsidRDefault="00B4082A" w:rsidP="00B4082A">
      <w:pPr>
        <w:spacing w:after="150" w:line="300" w:lineRule="atLeast"/>
        <w:jc w:val="both"/>
        <w:rPr>
          <w:rFonts w:eastAsia="Times New Roman" w:cstheme="minorHAnsi"/>
          <w:color w:val="000000" w:themeColor="text1"/>
          <w:lang w:eastAsia="tr-TR"/>
        </w:rPr>
      </w:pPr>
      <w:r w:rsidRPr="00C66C37">
        <w:rPr>
          <w:rFonts w:eastAsia="Times New Roman" w:cstheme="minorHAnsi"/>
          <w:b/>
          <w:color w:val="000000" w:themeColor="text1"/>
          <w:lang w:eastAsia="tr-TR"/>
        </w:rPr>
        <w:t>(</w:t>
      </w:r>
      <w:r w:rsidR="00890190">
        <w:rPr>
          <w:rFonts w:eastAsia="Times New Roman" w:cstheme="minorHAnsi"/>
          <w:b/>
          <w:color w:val="000000" w:themeColor="text1"/>
          <w:lang w:eastAsia="tr-TR"/>
        </w:rPr>
        <w:t>10</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Aday başvuruları ve kayıtlarla ilgili tüm bilgiler Üniversite tarafından ilan edilir. Doktora ve sanatta yeterlik programlarına aday başvuruları, ilgili enstitü müdürlüğünce belirlenen yöntemle yapılır. Adaylar kesin kayıt için istenen belgeleri süresi içinde eksiksiz olarak teslim etmek zorundadır.</w:t>
      </w:r>
    </w:p>
    <w:p w:rsidR="00B4082A" w:rsidRPr="00C66C37" w:rsidRDefault="00B4082A" w:rsidP="00B4082A">
      <w:pPr>
        <w:spacing w:after="150" w:line="300" w:lineRule="atLeast"/>
        <w:jc w:val="both"/>
        <w:rPr>
          <w:rFonts w:eastAsia="Times New Roman" w:cstheme="minorHAnsi"/>
          <w:color w:val="000000" w:themeColor="text1"/>
          <w:lang w:eastAsia="tr-TR"/>
        </w:rPr>
      </w:pPr>
      <w:r w:rsidRPr="00C66C37">
        <w:rPr>
          <w:rFonts w:eastAsia="Times New Roman" w:cstheme="minorHAnsi"/>
          <w:b/>
          <w:color w:val="000000" w:themeColor="text1"/>
          <w:lang w:eastAsia="tr-TR"/>
        </w:rPr>
        <w:t>(</w:t>
      </w:r>
      <w:r w:rsidR="00890190">
        <w:rPr>
          <w:rFonts w:eastAsia="Times New Roman" w:cstheme="minorHAnsi"/>
          <w:b/>
          <w:color w:val="000000" w:themeColor="text1"/>
          <w:lang w:eastAsia="tr-TR"/>
        </w:rPr>
        <w:t>11</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Anabilim/anasanat dallarına öğrenci kabulünde, ilgili akademik kurulun önerisi ve/veya enstitü yönetim kurulu kararı ile özel şartlar ve/veya bu Yönetmelikte öngörülen asgari kriterlerin üzerinde kriterler de belirlenebilir.</w:t>
      </w:r>
    </w:p>
    <w:p w:rsidR="00B4082A" w:rsidRPr="001009A6" w:rsidRDefault="00B4082A" w:rsidP="00B4082A">
      <w:pPr>
        <w:jc w:val="both"/>
        <w:rPr>
          <w:rFonts w:cstheme="minorHAnsi"/>
          <w:color w:val="000000" w:themeColor="text1"/>
        </w:rPr>
      </w:pPr>
      <w:r>
        <w:rPr>
          <w:rFonts w:eastAsia="Times New Roman" w:cstheme="minorHAnsi"/>
          <w:b/>
          <w:color w:val="000000" w:themeColor="text1"/>
          <w:lang w:eastAsia="tr-TR"/>
        </w:rPr>
        <w:t>(</w:t>
      </w:r>
      <w:r w:rsidR="00890190">
        <w:rPr>
          <w:rFonts w:eastAsia="Times New Roman" w:cstheme="minorHAnsi"/>
          <w:b/>
          <w:color w:val="000000" w:themeColor="text1"/>
          <w:lang w:eastAsia="tr-TR"/>
        </w:rPr>
        <w:t>12</w:t>
      </w:r>
      <w:r w:rsidRPr="00C66C37">
        <w:rPr>
          <w:rFonts w:eastAsia="Times New Roman" w:cstheme="minorHAnsi"/>
          <w:b/>
          <w:color w:val="000000" w:themeColor="text1"/>
          <w:lang w:eastAsia="tr-TR"/>
        </w:rPr>
        <w:t>)</w:t>
      </w:r>
      <w:r w:rsidRPr="00C66C37">
        <w:rPr>
          <w:rFonts w:eastAsia="Times New Roman" w:cstheme="minorHAnsi"/>
          <w:color w:val="000000" w:themeColor="text1"/>
          <w:lang w:eastAsia="tr-TR"/>
        </w:rPr>
        <w:t xml:space="preserve"> Açılan programlara başvuran adaylar; ilgili başkanlığın akademik kurul kararı ile teklif edeceği on kişilik jüri önerisini dikkate alarak ilgili enstitü yönetim kurulu kararı ile belirlenen en az üç, en çok beş asıl ve iki yedek üyeden oluşan jüri tarafından yetenek sınavı/portfolyo incelemesi veya mülâkat/yazılı sınavına tabi tutulur. İlgili anabilim dalında yeterli sayıda öğretim üyesi bulunmaması halinde on kişilik jüri önerisi şartı aranmaz. Sınav usulüne ilgili enstitü yönetim kurulu karar verir.</w:t>
      </w:r>
    </w:p>
    <w:p w:rsidR="00B4082A" w:rsidRDefault="00B4082A" w:rsidP="00C03D54">
      <w:pPr>
        <w:jc w:val="both"/>
      </w:pPr>
    </w:p>
    <w:p w:rsidR="005D77DD" w:rsidRDefault="005D77DD" w:rsidP="00C03D54">
      <w:pPr>
        <w:jc w:val="both"/>
      </w:pPr>
      <w:r w:rsidRPr="005D77DD">
        <w:rPr>
          <w:b/>
        </w:rPr>
        <w:t>Burs miktarı, süresi ve ödemeler</w:t>
      </w:r>
      <w:r>
        <w:t xml:space="preserve"> </w:t>
      </w:r>
    </w:p>
    <w:p w:rsidR="005D77DD" w:rsidRDefault="005D77DD" w:rsidP="00C03D54">
      <w:pPr>
        <w:jc w:val="both"/>
      </w:pPr>
      <w:r w:rsidRPr="001009A6">
        <w:rPr>
          <w:b/>
        </w:rPr>
        <w:t>(1)</w:t>
      </w:r>
      <w:r>
        <w:t xml:space="preserve"> 100/2000 Doktora Burs Programı kapsamında verilecek aylık burs tutarı, 3/3/2004 tarihli ve 5102 sayılı Yüksek Öğrenim Öğrencilerine Burs Kredi Verilmesine İlişkin Kanuna göre doktora öğrencilerine ödenmekte olan aylık burs tutarının %30 artırımlı tutarını geçmemek üzere YÖK Yürütme Kurulunca belirlenir.       </w:t>
      </w:r>
    </w:p>
    <w:p w:rsidR="005D77DD" w:rsidRDefault="005D77DD" w:rsidP="00C03D54">
      <w:pPr>
        <w:jc w:val="both"/>
      </w:pPr>
      <w:r>
        <w:t>Burs miktarı: Aylık 1550 TL. Her yıl enflasyon oranı miktarınca artırılacaktır.</w:t>
      </w:r>
    </w:p>
    <w:p w:rsidR="005D77DD" w:rsidRDefault="005D77DD" w:rsidP="00C03D54">
      <w:pPr>
        <w:jc w:val="both"/>
      </w:pPr>
      <w:r>
        <w:t xml:space="preserve"> </w:t>
      </w:r>
      <w:r w:rsidRPr="000A5036">
        <w:rPr>
          <w:b/>
        </w:rPr>
        <w:t>(2)</w:t>
      </w:r>
      <w:r>
        <w:t xml:space="preserve"> Yükseköğretim kurumları adayların başvurularını, kendi belirlediği şartlar doğrultusunda değerlendirir. Değerlendirme sonucunda doktora eğitimi alması uygun bulunan ve kesin kayıt yaptıran öğrencilerin listesi rektörlük tarafından YÖK Başkanlığına bildirilir.         </w:t>
      </w:r>
    </w:p>
    <w:p w:rsidR="005D77DD" w:rsidRDefault="005D77DD" w:rsidP="00C03D54">
      <w:pPr>
        <w:jc w:val="both"/>
      </w:pPr>
      <w:r w:rsidRPr="000A5036">
        <w:rPr>
          <w:b/>
        </w:rPr>
        <w:t>(3)</w:t>
      </w:r>
      <w:r>
        <w:t xml:space="preserve"> Yükseköğretim kurumlarınca YÖK’e bildirilen listeler (öğrenci adı/soyadı, kayıt yaptırdığı Enstitü ve programı, düzeyi, vb) ilgili komisyonca incelendikten sonra YÖK Yürütme Kurulunda görüşülerek uygun bulunan burs tutarı, bursiyerlere ödenmek üzere ilgili yükseköğretim kurumu hesabına altı aylık dönemler halinde aktarılır.        </w:t>
      </w:r>
    </w:p>
    <w:p w:rsidR="005D77DD" w:rsidRDefault="005D77DD" w:rsidP="00C03D54">
      <w:pPr>
        <w:jc w:val="both"/>
      </w:pPr>
      <w:r>
        <w:t xml:space="preserve"> </w:t>
      </w:r>
      <w:r w:rsidRPr="000A5036">
        <w:rPr>
          <w:b/>
        </w:rPr>
        <w:t>(4)</w:t>
      </w:r>
      <w:r>
        <w:t xml:space="preserve"> Aktarılan burs tutarı her ayın biri ile onu arasında bursiyere ödenir.         </w:t>
      </w:r>
    </w:p>
    <w:p w:rsidR="005D77DD" w:rsidRDefault="005D77DD" w:rsidP="00C03D54">
      <w:pPr>
        <w:jc w:val="both"/>
      </w:pPr>
      <w:r w:rsidRPr="000A5036">
        <w:rPr>
          <w:b/>
        </w:rPr>
        <w:t>(5)</w:t>
      </w:r>
      <w:r>
        <w:t xml:space="preserve"> Doktora öğrencilerine azami dört yıl, bütünleşik doktora öğrencilerine ise azami beş yıl burs ödemesi yapılır.        </w:t>
      </w:r>
    </w:p>
    <w:p w:rsidR="005D77DD" w:rsidRDefault="005D77DD" w:rsidP="00C03D54">
      <w:pPr>
        <w:jc w:val="both"/>
      </w:pPr>
      <w:r w:rsidRPr="000A5036">
        <w:rPr>
          <w:b/>
        </w:rPr>
        <w:t xml:space="preserve"> (6)</w:t>
      </w:r>
      <w:r>
        <w:t xml:space="preserve"> Öğrencilere eğitime başladıkları ayı takiben oniki ay süre ile burs ödenir.        </w:t>
      </w:r>
    </w:p>
    <w:p w:rsidR="005D77DD" w:rsidRDefault="005D77DD" w:rsidP="00C03D54">
      <w:pPr>
        <w:jc w:val="both"/>
      </w:pPr>
      <w:r w:rsidRPr="000A5036">
        <w:rPr>
          <w:b/>
        </w:rPr>
        <w:t xml:space="preserve">  (7)</w:t>
      </w:r>
      <w:r>
        <w:t xml:space="preserve"> Öğrenciler burs aldıkları süre boyunca eğitimlerine kesintisiz devam etmek zorundadırlar. Kayıt donduran öğrencilere, bu süre zarfında burs ödemesi yapılmaz. Ancak bu süre mücbir sebeplerle kayıt donduran öğrencilerin bursluluk sürelerine eklenir.        </w:t>
      </w:r>
    </w:p>
    <w:p w:rsidR="005D77DD" w:rsidRDefault="005D77DD" w:rsidP="00C03D54">
      <w:pPr>
        <w:jc w:val="both"/>
      </w:pPr>
      <w:r w:rsidRPr="000A5036">
        <w:rPr>
          <w:b/>
        </w:rPr>
        <w:t xml:space="preserve"> (8)</w:t>
      </w:r>
      <w:r>
        <w:t xml:space="preserve"> Bursiyerler akademik değişim programları çerçevesindeki  (Mevlana,  Farabi,  Erasmus+vb)  programlardan da faydalanabilirler ve bu esnada bursları devam eder. Bu süreler, öğrencinin doktora eğitimindeki azami süresinden sayılır. </w:t>
      </w:r>
    </w:p>
    <w:p w:rsidR="00FB43D4" w:rsidRDefault="00FB43D4" w:rsidP="00C03D54">
      <w:pPr>
        <w:jc w:val="both"/>
      </w:pPr>
    </w:p>
    <w:p w:rsidR="005D77DD" w:rsidRPr="00A11ADA" w:rsidRDefault="005D77DD" w:rsidP="00C03D54">
      <w:pPr>
        <w:jc w:val="both"/>
        <w:rPr>
          <w:b/>
        </w:rPr>
      </w:pPr>
      <w:r w:rsidRPr="00A11ADA">
        <w:rPr>
          <w:b/>
        </w:rPr>
        <w:t xml:space="preserve">Bursun sonlandırılması </w:t>
      </w:r>
    </w:p>
    <w:p w:rsidR="005D77DD" w:rsidRDefault="005D77DD" w:rsidP="00C03D54">
      <w:pPr>
        <w:jc w:val="both"/>
      </w:pPr>
      <w:r>
        <w:t xml:space="preserve"> </w:t>
      </w:r>
      <w:r w:rsidRPr="000A5036">
        <w:rPr>
          <w:b/>
        </w:rPr>
        <w:t>(1)</w:t>
      </w:r>
      <w:r>
        <w:t xml:space="preserve"> Disiplin cezası alan öğrencilerin burs ödemeleri hemen sonlandırılır.  </w:t>
      </w:r>
    </w:p>
    <w:p w:rsidR="005D77DD" w:rsidRDefault="000A5036" w:rsidP="00C03D54">
      <w:pPr>
        <w:jc w:val="both"/>
      </w:pPr>
      <w:r w:rsidRPr="000A5036">
        <w:rPr>
          <w:b/>
        </w:rPr>
        <w:lastRenderedPageBreak/>
        <w:t xml:space="preserve"> </w:t>
      </w:r>
      <w:r w:rsidR="005D77DD" w:rsidRPr="000A5036">
        <w:rPr>
          <w:b/>
        </w:rPr>
        <w:t>(2)</w:t>
      </w:r>
      <w:r w:rsidR="005D77DD">
        <w:t xml:space="preserve"> Bursiyerin, başka bir üniversiteye/başka bir programa yatay geçiş yapması durumunda 100/2000 YÖK Doktora Bursu sonlandırılır.      </w:t>
      </w:r>
    </w:p>
    <w:p w:rsidR="005D77DD" w:rsidRDefault="005D77DD" w:rsidP="00C03D54">
      <w:pPr>
        <w:jc w:val="both"/>
      </w:pPr>
      <w:r w:rsidRPr="000A5036">
        <w:rPr>
          <w:b/>
        </w:rPr>
        <w:t>(3)</w:t>
      </w:r>
      <w:r>
        <w:t xml:space="preserve"> Öğrenciler, Lisansüstü Eğitim ve Öğretim Yönetmeliği ve doktora eğitimini aldıkları yükseköğretim kurumunun ilgili yönetmelik, yönerge ve kararlarına uymakla yükümlüdür. Söz konusu mevzuat kapsamında başarısız olanların ve/veya ilişiği kesilenlerin burs ödemeleri hemen sonlandırılır.</w:t>
      </w:r>
    </w:p>
    <w:p w:rsidR="00FB43D4" w:rsidRDefault="00FB43D4" w:rsidP="00C03D54">
      <w:pPr>
        <w:jc w:val="both"/>
      </w:pPr>
    </w:p>
    <w:p w:rsidR="000A5036" w:rsidRDefault="005D77DD" w:rsidP="00C03D54">
      <w:pPr>
        <w:jc w:val="both"/>
        <w:rPr>
          <w:b/>
        </w:rPr>
      </w:pPr>
      <w:r w:rsidRPr="00A11ADA">
        <w:rPr>
          <w:b/>
        </w:rPr>
        <w:t xml:space="preserve"> Programın yürütülmesi</w:t>
      </w:r>
    </w:p>
    <w:p w:rsidR="005D77DD" w:rsidRPr="000A5036" w:rsidRDefault="005D77DD" w:rsidP="00C03D54">
      <w:pPr>
        <w:jc w:val="both"/>
        <w:rPr>
          <w:b/>
        </w:rPr>
      </w:pPr>
      <w:r w:rsidRPr="000A5036">
        <w:rPr>
          <w:b/>
        </w:rPr>
        <w:t>(1)</w:t>
      </w:r>
      <w:r>
        <w:t xml:space="preserve"> 100/2000 YÖK Doktora Burs Programı, YÖK Yürütme Kurulunun belirlediği yükseköğretim kurumları ve programlar itibariyle bu Usul ve Esaslarda belirlenen hükümlere uygun olarak yürütülür.           </w:t>
      </w:r>
    </w:p>
    <w:p w:rsidR="005D77DD" w:rsidRDefault="005D77DD" w:rsidP="00C03D54">
      <w:pPr>
        <w:jc w:val="both"/>
      </w:pPr>
      <w:r w:rsidRPr="000A5036">
        <w:rPr>
          <w:b/>
        </w:rPr>
        <w:t>(2)</w:t>
      </w:r>
      <w:r>
        <w:t xml:space="preserve"> Bu çerçevede desteklenecek yükseköğretim kurumları ve programları ile bursun süresi, tutarı, kapsamı, başvuru şartları, başvuruları değerlendirme ve seçme süreçleri ile programın yürütülmesine ilişkin diğer temel kural ve ilkeler Komisyonun önerisi üzerine YÖK Yürütme Kurulu tarafından belirlenir.        </w:t>
      </w:r>
    </w:p>
    <w:p w:rsidR="00A11ADA" w:rsidRDefault="000A5036" w:rsidP="00C03D54">
      <w:pPr>
        <w:jc w:val="both"/>
      </w:pPr>
      <w:r w:rsidRPr="000A5036">
        <w:rPr>
          <w:b/>
        </w:rPr>
        <w:t xml:space="preserve"> </w:t>
      </w:r>
      <w:r w:rsidR="005D77DD" w:rsidRPr="000A5036">
        <w:rPr>
          <w:b/>
        </w:rPr>
        <w:t>(3)</w:t>
      </w:r>
      <w:r w:rsidR="005D77DD">
        <w:t xml:space="preserve"> 100/2000 YÖK Doktora Burs Programı kapsamında burs almaya hak kazanan öğrencilerin, </w:t>
      </w:r>
      <w:r w:rsidR="005D77DD" w:rsidRPr="00A11ADA">
        <w:rPr>
          <w:b/>
        </w:rPr>
        <w:t>öğrenim gördükleri süre içinde aldıkları diğer burslar ve öğrenim kredileri devam eder</w:t>
      </w:r>
      <w:r w:rsidR="005D77DD">
        <w:t xml:space="preserve">.          </w:t>
      </w:r>
    </w:p>
    <w:p w:rsidR="00A11ADA" w:rsidRDefault="005D77DD" w:rsidP="00C03D54">
      <w:pPr>
        <w:jc w:val="both"/>
      </w:pPr>
      <w:r w:rsidRPr="00FB43D4">
        <w:rPr>
          <w:b/>
        </w:rPr>
        <w:t xml:space="preserve">(4) </w:t>
      </w:r>
      <w:r>
        <w:t xml:space="preserve">Yükseköğretim kurumları, her eğitim öğretim yılı sonunda öğrencilerin akademik gelişimlerine ilişkin raporu YÖK’e gönderir.       </w:t>
      </w:r>
    </w:p>
    <w:p w:rsidR="00A11ADA" w:rsidRDefault="000A5036" w:rsidP="00C03D54">
      <w:pPr>
        <w:jc w:val="both"/>
      </w:pPr>
      <w:r w:rsidRPr="000A5036">
        <w:rPr>
          <w:b/>
        </w:rPr>
        <w:t xml:space="preserve"> </w:t>
      </w:r>
      <w:r w:rsidR="005D77DD" w:rsidRPr="000A5036">
        <w:rPr>
          <w:b/>
        </w:rPr>
        <w:t>(5)</w:t>
      </w:r>
      <w:r w:rsidR="005D77DD">
        <w:t xml:space="preserve"> Doktora programlarına kayıtlı öğrenciler ders aşamasında ilgili anabilim/bilim dalının başkanı; tez aşamasında ise danışmanının gözetiminde çalışmalarını gerçekleştirir. Ayrıca öğrenciler, kendilerine doktora çalışmalarında katkı sağlamak amacı ile sınırlı olmak üzere, ders ve tezin dışında yüklenen yükümlülükleri yerine getirmek zorundadır. </w:t>
      </w:r>
    </w:p>
    <w:p w:rsidR="00FB43D4" w:rsidRDefault="00FB43D4" w:rsidP="00C03D54">
      <w:pPr>
        <w:jc w:val="both"/>
        <w:rPr>
          <w:b/>
        </w:rPr>
      </w:pPr>
    </w:p>
    <w:p w:rsidR="00A11ADA" w:rsidRPr="00A11ADA" w:rsidRDefault="005D77DD" w:rsidP="00C03D54">
      <w:pPr>
        <w:jc w:val="both"/>
        <w:rPr>
          <w:b/>
        </w:rPr>
      </w:pPr>
      <w:r w:rsidRPr="00A11ADA">
        <w:rPr>
          <w:b/>
        </w:rPr>
        <w:t xml:space="preserve">Burs ve iade </w:t>
      </w:r>
    </w:p>
    <w:p w:rsidR="00954E2A" w:rsidRDefault="005D77DD" w:rsidP="00C03D54">
      <w:pPr>
        <w:jc w:val="both"/>
      </w:pPr>
      <w:r w:rsidRPr="000A5036">
        <w:rPr>
          <w:b/>
        </w:rPr>
        <w:t>(1)</w:t>
      </w:r>
      <w:r>
        <w:t xml:space="preserve"> Yükseköğretim kurumları aktarılan tutarlardan, YÖK Yürütme Kurulu Kararı ile belirlenen burs miktarları kadar tutarı bursiyerlerin banka hesaplarına yatırmak suretiyle öder. Bu Usul ve Esaslar kapsamında bursiyerlere verilen bursun kesilmesine sebep olacak bir durumun ortaya çıkması halinde kullanılmayan burs miktarları YÖK'ün ilgili hesaplarına iade edilir. </w:t>
      </w:r>
    </w:p>
    <w:sectPr w:rsidR="00954E2A" w:rsidSect="00C03D54">
      <w:pgSz w:w="11906" w:h="16838"/>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4000ACFF" w:usb2="00000001" w:usb3="00000000" w:csb0="000001FF" w:csb1="00000000"/>
  </w:font>
  <w:font w:name="Times New Roman">
    <w:panose1 w:val="02020603050405020304"/>
    <w:charset w:val="A2"/>
    <w:family w:val="roman"/>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06D"/>
    <w:rsid w:val="00036EFB"/>
    <w:rsid w:val="000A5036"/>
    <w:rsid w:val="000B6670"/>
    <w:rsid w:val="001009A6"/>
    <w:rsid w:val="00123B0F"/>
    <w:rsid w:val="00124356"/>
    <w:rsid w:val="001B1DCB"/>
    <w:rsid w:val="003A70E4"/>
    <w:rsid w:val="003E1C11"/>
    <w:rsid w:val="003F003E"/>
    <w:rsid w:val="004A506D"/>
    <w:rsid w:val="005D77DD"/>
    <w:rsid w:val="006E3E42"/>
    <w:rsid w:val="007B5489"/>
    <w:rsid w:val="00890190"/>
    <w:rsid w:val="00954E2A"/>
    <w:rsid w:val="0097436F"/>
    <w:rsid w:val="009A5DE5"/>
    <w:rsid w:val="00A11ADA"/>
    <w:rsid w:val="00AF7D32"/>
    <w:rsid w:val="00B4082A"/>
    <w:rsid w:val="00B929E8"/>
    <w:rsid w:val="00C03D54"/>
    <w:rsid w:val="00C66C37"/>
    <w:rsid w:val="00C75AFD"/>
    <w:rsid w:val="00C84518"/>
    <w:rsid w:val="00CE10AD"/>
    <w:rsid w:val="00D26BB7"/>
    <w:rsid w:val="00DA67CE"/>
    <w:rsid w:val="00FB43D4"/>
    <w:rsid w:val="00FF53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DF2AF"/>
  <w15:chartTrackingRefBased/>
  <w15:docId w15:val="{AC3A652C-17FD-4E8C-A7F5-954D16175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66C37"/>
    <w:rPr>
      <w:b/>
      <w:bCs/>
    </w:rPr>
  </w:style>
  <w:style w:type="paragraph" w:styleId="NormalWeb">
    <w:name w:val="Normal (Web)"/>
    <w:basedOn w:val="Normal"/>
    <w:uiPriority w:val="99"/>
    <w:semiHidden/>
    <w:unhideWhenUsed/>
    <w:rsid w:val="00C66C37"/>
    <w:pPr>
      <w:spacing w:after="150" w:line="240" w:lineRule="auto"/>
    </w:pPr>
    <w:rPr>
      <w:rFonts w:ascii="Times New Roman" w:eastAsia="Times New Roman" w:hAnsi="Times New Roman" w:cs="Times New Roman"/>
      <w:sz w:val="24"/>
      <w:szCs w:val="24"/>
      <w:lang w:eastAsia="tr-TR"/>
    </w:rPr>
  </w:style>
  <w:style w:type="paragraph" w:styleId="BalloonText">
    <w:name w:val="Balloon Text"/>
    <w:basedOn w:val="Normal"/>
    <w:link w:val="BalloonTextChar"/>
    <w:uiPriority w:val="99"/>
    <w:semiHidden/>
    <w:unhideWhenUsed/>
    <w:rsid w:val="00C03D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D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644129">
      <w:bodyDiv w:val="1"/>
      <w:marLeft w:val="0"/>
      <w:marRight w:val="0"/>
      <w:marTop w:val="0"/>
      <w:marBottom w:val="0"/>
      <w:divBdr>
        <w:top w:val="none" w:sz="0" w:space="0" w:color="auto"/>
        <w:left w:val="none" w:sz="0" w:space="0" w:color="auto"/>
        <w:bottom w:val="none" w:sz="0" w:space="0" w:color="auto"/>
        <w:right w:val="none" w:sz="0" w:space="0" w:color="auto"/>
      </w:divBdr>
      <w:divsChild>
        <w:div w:id="1244022416">
          <w:marLeft w:val="0"/>
          <w:marRight w:val="0"/>
          <w:marTop w:val="0"/>
          <w:marBottom w:val="0"/>
          <w:divBdr>
            <w:top w:val="none" w:sz="0" w:space="0" w:color="auto"/>
            <w:left w:val="none" w:sz="0" w:space="0" w:color="auto"/>
            <w:bottom w:val="none" w:sz="0" w:space="0" w:color="auto"/>
            <w:right w:val="none" w:sz="0" w:space="0" w:color="auto"/>
          </w:divBdr>
          <w:divsChild>
            <w:div w:id="422800717">
              <w:marLeft w:val="0"/>
              <w:marRight w:val="0"/>
              <w:marTop w:val="0"/>
              <w:marBottom w:val="0"/>
              <w:divBdr>
                <w:top w:val="none" w:sz="0" w:space="0" w:color="auto"/>
                <w:left w:val="none" w:sz="0" w:space="0" w:color="auto"/>
                <w:bottom w:val="none" w:sz="0" w:space="0" w:color="auto"/>
                <w:right w:val="none" w:sz="0" w:space="0" w:color="auto"/>
              </w:divBdr>
              <w:divsChild>
                <w:div w:id="419565530">
                  <w:marLeft w:val="-300"/>
                  <w:marRight w:val="0"/>
                  <w:marTop w:val="0"/>
                  <w:marBottom w:val="0"/>
                  <w:divBdr>
                    <w:top w:val="none" w:sz="0" w:space="0" w:color="auto"/>
                    <w:left w:val="none" w:sz="0" w:space="0" w:color="auto"/>
                    <w:bottom w:val="none" w:sz="0" w:space="0" w:color="auto"/>
                    <w:right w:val="none" w:sz="0" w:space="0" w:color="auto"/>
                  </w:divBdr>
                  <w:divsChild>
                    <w:div w:id="1897472560">
                      <w:marLeft w:val="0"/>
                      <w:marRight w:val="0"/>
                      <w:marTop w:val="0"/>
                      <w:marBottom w:val="0"/>
                      <w:divBdr>
                        <w:top w:val="none" w:sz="0" w:space="0" w:color="auto"/>
                        <w:left w:val="none" w:sz="0" w:space="0" w:color="auto"/>
                        <w:bottom w:val="none" w:sz="0" w:space="0" w:color="auto"/>
                        <w:right w:val="none" w:sz="0" w:space="0" w:color="auto"/>
                      </w:divBdr>
                      <w:divsChild>
                        <w:div w:id="79995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3</Pages>
  <Words>1260</Words>
  <Characters>7185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dmobilgsyar</dc:creator>
  <cp:keywords/>
  <dc:description/>
  <cp:lastModifiedBy>dmobilgsyar</cp:lastModifiedBy>
  <cp:revision>40</cp:revision>
  <cp:lastPrinted>2017-02-13T12:28:00Z</cp:lastPrinted>
  <dcterms:created xsi:type="dcterms:W3CDTF">2017-02-13T10:49:00Z</dcterms:created>
  <dcterms:modified xsi:type="dcterms:W3CDTF">2017-02-13T12:44:00Z</dcterms:modified>
</cp:coreProperties>
</file>